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VO-ID212143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„Stadthavel“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durch eine gezielte Grünlandauflassung soll die Entwicklung von Weichholzauenwald unterstützt werden (zum Beispiel in der Flur 94);</w:t>
      </w:r>
    </w:p>
    <w:p>
      <w:r>
        <w:t xml:space="preserve">die Orchideenstandorte im Gebiet sollen gepflegt werden;</w:t>
      </w:r>
    </w:p>
    <w:p>
      <w:r>
        <w:t xml:space="preserve">die nicht der potenziell natürlichen Vegetation entsprechenden Baumarten (Eschenahorn, Kanadische Pappel) sollen langfristig entnommen werden.</w:t>
      </w:r>
    </w:p>
    <w:p>
      <w:r>
        <w:rPr>
          <w:color w:val="555555"/>
          <w:sz w:val="17"/>
        </w:rPr>
        <w:t xml:space="preserve">Zitiervorschlag: § 6 VO-ID212143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https://recht.nulegal.eu/gesetze/VO-ID212143/6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