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2 VO-ID212143 (Brandenburg) — Schutzgegenstand</w:t>
      </w:r>
    </w:p>
    <w:p>
      <w:r>
        <w:rPr>
          <w:color w:val="555555"/>
          <w:sz w:val="18"/>
        </w:rPr>
        <w:t xml:space="preserve">Verordnung über das Naturschutzgebiet „Stadthavel“</w:t>
      </w:r>
    </w:p>
    <w:p>
      <w:r>
        <w:rPr>
          <w:color w:val="555555"/>
          <w:sz w:val="18"/>
        </w:rPr>
        <w:t xml:space="preserve">Landesrecht Brandenburg</w:t>
      </w:r>
    </w:p>
    <w:p>
      <w:r>
        <w:rPr>
          <w:color w:val="555555"/>
          <w:sz w:val="18"/>
        </w:rPr>
        <w:t xml:space="preserve">Stand: 02.08.2026 (konsolidierte Textfassung, kein amtliches Inkrafttretensdatum)</w:t>
      </w:r>
    </w:p>
    <w:p>
      <w:r>
        <w:t xml:space="preserve">(1) Das Naturschutzgebiet hat eine Größe von rund 250 Hektar. Es umfasst Flächen in der kreisfreien Stadt Brandenburg an der Havel, Gemarkung Stadt Brandenburg an der Havel, Flure 92 bis 94, 97, 116, 118, 119.</w:t>
      </w:r>
    </w:p>
    <w:p>
      <w:r>
        <w:t xml:space="preserve">Eine Kartenskizze ist dieser Verordnung zur Orientierung als Anlage beigefügt.</w:t>
      </w:r>
    </w:p>
    <w:p>
      <w:r>
        <w:t xml:space="preserve">(2) Die Grenze des Naturschutzgebietes ist in topografischen Karten im Maßstab 1 : 10 000 und in Flurkarten mit ununterbrochener Linie eingezeichnet; als Grenze gilt der innere Rand dieser Linie. Zur Orientierung ist dieser Verordnung zusätzlich eine Flurstücksliste als Anlage beigefügt. Maßgeblich ist die Einzeichnung in den Flurkarten.</w:t>
      </w:r>
    </w:p>
    <w:p>
      <w:r>
        <w:t xml:space="preserve">(3) Die Verordnung mit Karten kann beim Ministerium für Landwirtschaft, Umweltschutz und Raumordnung des Landes Brandenburg, oberste Naturschutzbehörde, in Potsdam sowie bei der kreisfreien Stadt Brandenburg an der Havel, untere Naturschutzbehörde, von jedermann während der Dienstzeiten kostenlos eingesehen werden.</w:t>
      </w:r>
    </w:p>
    <w:p>
      <w:r>
        <w:rPr>
          <w:color w:val="555555"/>
          <w:sz w:val="17"/>
        </w:rPr>
        <w:t xml:space="preserve">Zitiervorschlag: § 2 VO-ID212143 (Brandenburg)</w:t>
      </w:r>
    </w:p>
    <w:p>
      <w:r>
        <w:rPr>
          <w:color w:val="555555"/>
          <w:sz w:val="17"/>
        </w:rPr>
        <w:t xml:space="preserve">Quelle: bravors, abgerufen 02.08.2026</w:t>
      </w:r>
    </w:p>
    <w:p>
      <w:r>
        <w:rPr>
          <w:color w:val="555555"/>
          <w:sz w:val="17"/>
        </w:rPr>
        <w:t xml:space="preserve">Nicht-amtliche Lesefassung — verbindlich ist das Gesetz- und Verordnungsblatt für das Land Brandenburg (landesrecht.brandenburg.de: https://www.landesrecht.brandenburg.de)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https://recht.nulegal.eu/gesetze/VO-ID212143/2</w:t>
      </w:r>
    </w:p>
    <w:p>
      <w:r>
        <w:rPr>
          <w:color w:val="767676"/>
          <w:sz w:val="15"/>
        </w:rPr>
        <w:t xml:space="preserve">nu:legal · recht.nulegal.eu · Nicht-amtliche Lesefassung. Amtliche Fassung: landesrecht.brandenburg.de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