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VO-ID212138 (Brandenburg) — Ordnungswidrigkeiten</w:t>
      </w:r>
    </w:p>
    <w:p>
      <w:r>
        <w:rPr>
          <w:color w:val="555555"/>
          <w:sz w:val="18"/>
        </w:rPr>
        <w:t xml:space="preserve">Verordnung zur Festlegung der Schutzzone I „Kleines Bruch“ des Nationalparks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Ordnungswidrigkeiten können gemäß § 18 des Nationalparkgesetzes „Unteres Odertal“ geahndet werden.</w:t>
      </w:r>
    </w:p>
    <w:p>
      <w:r>
        <w:rPr>
          <w:color w:val="555555"/>
          <w:sz w:val="17"/>
        </w:rPr>
        <w:t xml:space="preserve">Zitiervorschlag: § 5 VO-ID212138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https://recht.nulegal.eu/gesetze/VO-ID212138/5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