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VO-ID212136 (Brandenburg) — Ordnungswidrigkeiten</w:t>
      </w:r>
    </w:p>
    <w:p>
      <w:r>
        <w:rPr>
          <w:color w:val="555555"/>
          <w:sz w:val="18"/>
        </w:rPr>
        <w:t xml:space="preserve">Verordnung zur Festlegung der Schutzzone I „Gartzer Schrey“ des Nationalparks „Unteres Odertal“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Ordnungswidrigkeiten können gemäß § 18 des Nationalparkgesetzes „Unteres Odertal“ geahndet werden.</w:t>
      </w:r>
    </w:p>
    <w:p>
      <w:r>
        <w:rPr>
          <w:color w:val="555555"/>
          <w:sz w:val="17"/>
        </w:rPr>
        <w:t xml:space="preserve">Zitiervorschlag: § 5 VO-ID212136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https://recht.nulegal.eu/gesetze/VO-ID212136/5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