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VO-ID212135 (Brandenburg) — In-Kraft-Treten</w:t>
      </w:r>
    </w:p>
    <w:p>
      <w:r>
        <w:rPr>
          <w:color w:val="555555"/>
          <w:sz w:val="18"/>
        </w:rPr>
        <w:t xml:space="preserve">Verordnung zur Festlegung der Schutzzone I „Staffelde“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17. September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7 VO-ID212135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https://recht.nulegal.eu/gesetze/VO-ID212135/7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VO-ID212135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