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VO-ID212101 (Brandenburg) — Befreiungen</w:t>
      </w:r>
    </w:p>
    <w:p>
      <w:r>
        <w:rPr>
          <w:color w:val="555555"/>
          <w:sz w:val="18"/>
        </w:rPr>
        <w:t xml:space="preserve">Verordnung zur Festsetzung des Wasserschutzgebietes für das Wasserwerk Cottbus-Sachsendorf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4, 5, 6 und 7 Befreiung erteilen, wenn</w:t>
      </w:r>
    </w:p>
    <w:p>
      <w:r>
        <w:t xml:space="preserve">das Wohl der Allgemeinheit die Befreiung vom Verbot erfordert oder</w:t>
      </w:r>
    </w:p>
    <w:p>
      <w:r>
        <w:t xml:space="preserve">das Verbot im Einzelfall zu einer offenbar unbeabsichtigten Härte führen würde und das Gemeinwohl sowie Belange des Gewässerschutzes im Sinne dieser Verordnung der Befreiung vom Verbot nicht entgegenstehen.</w:t>
      </w:r>
    </w:p>
    <w:p>
      <w:r>
        <w:t xml:space="preserve">(2) Die Befreiung ist widerruflich; sie kann mit Bedingungen und Auflagen verbunden werden und erfolgt durch schriftlichen oder elektronischen Bescheid . Abweichend von Satz 1 ist eine Befreiung von dem Verbot gemäß § 5 Nr. 14 nicht widerruflich.</w:t>
      </w:r>
    </w:p>
    <w:p>
      <w:r>
        <w:t xml:space="preserve">(3)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9 VO-ID212101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https://recht.nulegal.eu/gesetze/VO-ID212101/9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VO-ID212101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