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VO-ID212097 (Brandenburg)</w:t>
      </w:r>
    </w:p>
    <w:p>
      <w:r>
        <w:rPr>
          <w:color w:val="555555"/>
          <w:sz w:val="18"/>
        </w:rPr>
        <w:t xml:space="preserve">Verordnung über Zuständigkeiten im Kleingartenrecht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Zuständig für die Anerkennung und den Entzug der kleingärtnerischen</w:t>
      </w:r>
    </w:p>
    <w:p>
      <w:r>
        <w:t xml:space="preserve">Gemeinnützigkeit (§ 20 a Nr. 4 Satz 2 des Bundeskleingartengesetzes) sind die</w:t>
      </w:r>
    </w:p>
    <w:p>
      <w:r>
        <w:t xml:space="preserve">für den Sitz der Kleingärtnerorganisation zuständigen Landkreise und</w:t>
      </w:r>
    </w:p>
    <w:p>
      <w:r>
        <w:t xml:space="preserve">kreisfreien Städte.</w:t>
      </w:r>
    </w:p>
    <w:p>
      <w:r>
        <w:t xml:space="preserve">(2) Zuständig für die regelmäßige Prüfung der Geschäftsführung einer als</w:t>
      </w:r>
    </w:p>
    <w:p>
      <w:r>
        <w:t xml:space="preserve">kleingärtnerisch gemeinnützig anerkannten Kleingärtnerorganisation (§ 2 des</w:t>
      </w:r>
    </w:p>
    <w:p>
      <w:r>
        <w:t xml:space="preserve">Bundeskleingartengesetzes) und für die Anordnung, die Verwaltung einer</w:t>
      </w:r>
    </w:p>
    <w:p>
      <w:r>
        <w:t xml:space="preserve">Kleingartenanlage einer Kleingärtnerorganisation zu übertragen (§ 4 Abs. 3</w:t>
      </w:r>
    </w:p>
    <w:p>
      <w:r>
        <w:t xml:space="preserve">des Bundeskleingartengesetzes), sind</w:t>
      </w:r>
    </w:p>
    <w:p>
      <w:r>
        <w:t xml:space="preserve">bei Organisationen, deren Wirkungsbereich auf das Gebiet</w:t>
      </w:r>
    </w:p>
    <w:p>
      <w:r>
        <w:t xml:space="preserve">einer amtsfreien Gemeinde oder eines Amtes beschränkt ist, die amtsfreie Gemeinde oder das Amt,</w:t>
      </w:r>
    </w:p>
    <w:p>
      <w:r>
        <w:t xml:space="preserve">bei Organisationen, deren Wirkungsbereich sich über das</w:t>
      </w:r>
    </w:p>
    <w:p>
      <w:r>
        <w:t xml:space="preserve">Gebiet einer amtsfreien Gemeinde oder eines Amtes hinaus erstreckt,</w:t>
      </w:r>
    </w:p>
    <w:p>
      <w:r>
        <w:t xml:space="preserve">jedoch Kreisgrenzen nicht überschreitet, der Landkreis,</w:t>
      </w:r>
    </w:p>
    <w:p>
      <w:r>
        <w:t xml:space="preserve">bei Organisationen, deren Wirkungsbereich auf das Gebiet</w:t>
      </w:r>
    </w:p>
    <w:p>
      <w:r>
        <w:t xml:space="preserve">einer kreisfreien Stadt beschränkt ist, die kreisfreie Stadt,</w:t>
      </w:r>
    </w:p>
    <w:p>
      <w:r>
        <w:t xml:space="preserve">bei Organisationen, deren Wirkungsbereich sich über das</w:t>
      </w:r>
    </w:p>
    <w:p>
      <w:r>
        <w:t xml:space="preserve">Gebiet eines Landkreises oder einer kreisfreien Stadt hinaus</w:t>
      </w:r>
    </w:p>
    <w:p>
      <w:r>
        <w:t xml:space="preserve">erstreckt, der Landkreis oder die kreisfreie Stadt, in dem oder in der die</w:t>
      </w:r>
    </w:p>
    <w:p>
      <w:r>
        <w:t xml:space="preserve">Organisation ihren Sitz hat.</w:t>
      </w:r>
    </w:p>
    <w:p>
      <w:r>
        <w:t xml:space="preserve">(3) Bei Kleingärtnerorganisationen mit landesweitem Wirkungsbereich ist das</w:t>
      </w:r>
    </w:p>
    <w:p>
      <w:r>
        <w:t xml:space="preserve">Ministerium für Ernährung, Landwirtschaft und Forsten für die Anerkennung und</w:t>
      </w:r>
    </w:p>
    <w:p>
      <w:r>
        <w:t xml:space="preserve">den Entzug der kleingärtnerischen Gemeinnützigkeit sowie</w:t>
      </w:r>
    </w:p>
    <w:p>
      <w:r>
        <w:t xml:space="preserve">die regelmäßige Prüfung der Geschäftsführung zuständig.</w:t>
      </w:r>
    </w:p>
    <w:p>
      <w:r>
        <w:t xml:space="preserve">(4) Das Verfahren der Anerkennung und des Entzugs der kleingärtnerischen</w:t>
      </w:r>
    </w:p>
    <w:p>
      <w:r>
        <w:t xml:space="preserve">Gemeinnützigkeit regelt der Minister für Ernährung, Landwirtschaft und</w:t>
      </w:r>
    </w:p>
    <w:p>
      <w:r>
        <w:t xml:space="preserve">Forsten durch eine Verwaltungsvorschrift.</w:t>
      </w:r>
    </w:p>
    <w:p>
      <w:r>
        <w:rPr>
          <w:color w:val="555555"/>
          <w:sz w:val="17"/>
        </w:rPr>
        <w:t xml:space="preserve">Zitiervorschlag: § 1 VO-ID212097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https://recht.nulegal.eu/gesetze/VO-ID212097/1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