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VO-ID212093 (Brandenburg)</w:t>
      </w:r>
    </w:p>
    <w:p>
      <w:r>
        <w:rPr>
          <w:color w:val="555555"/>
          <w:sz w:val="18"/>
        </w:rPr>
        <w:t xml:space="preserve">Verordnung zur Durchführung des Wohngeldgesetzes und des Wohngeldsondergesetzes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Minister für Stadtentwicklung, Wohnen und Verkehr</w:t>
      </w:r>
    </w:p>
    <w:p>
      <w:r>
        <w:t xml:space="preserve">erläßt die erforderlichen Verwaltungsvorschriften; er übt die</w:t>
      </w:r>
    </w:p>
    <w:p>
      <w:r>
        <w:t xml:space="preserve">Fachaufsicht aus.</w:t>
      </w:r>
    </w:p>
    <w:p>
      <w:r>
        <w:rPr>
          <w:color w:val="555555"/>
          <w:sz w:val="17"/>
        </w:rPr>
        <w:t xml:space="preserve">Zitiervorschlag: § 2 VO-ID212093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https://recht.nulegal.eu/gesetze/VO-ID212093/2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