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VO-ID212093 (Brandenburg)</w:t>
      </w:r>
    </w:p>
    <w:p>
      <w:r>
        <w:rPr>
          <w:color w:val="555555"/>
          <w:sz w:val="18"/>
        </w:rPr>
        <w:t xml:space="preserve">Verordnung zur Durchführung des Wohngeldgesetzes und des Wohngeldsondergesetzes im Land Brandenburg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(1) Zuständige Stellen im Sinne des § 23 Abs. 1 Satz</w:t>
      </w:r>
    </w:p>
    <w:p>
      <w:r>
        <w:t xml:space="preserve">1 des Wohngeldgesetzes und des § 13 Abs. 1 des Wohngeldsondergesetzes sind</w:t>
      </w:r>
    </w:p>
    <w:p>
      <w:r>
        <w:t xml:space="preserve">die Landkreise, die kreisfreien Städte sowie alle Städte und</w:t>
      </w:r>
    </w:p>
    <w:p>
      <w:r>
        <w:t xml:space="preserve">Ämter mit 20.000 und mehr Einwohnern. Sie nehmen die Aufgaben als</w:t>
      </w:r>
    </w:p>
    <w:p>
      <w:r>
        <w:t xml:space="preserve">staatliche Auftragsangelegenheit wahr. Ämtern und amtsfreien Gemeinden</w:t>
      </w:r>
    </w:p>
    <w:p>
      <w:r>
        <w:t xml:space="preserve">unter 20.000 Einwohnern kann die Zuständigkeit nach Satz 1 auf ihren</w:t>
      </w:r>
    </w:p>
    <w:p>
      <w:r>
        <w:t xml:space="preserve">Antrag und nach Prüfung durch das Ministerium für Stadtentwicklung,</w:t>
      </w:r>
    </w:p>
    <w:p>
      <w:r>
        <w:t xml:space="preserve">Wohnen und Verkehr übertragen werden, wenn sie die Aufgaben sachgerecht,</w:t>
      </w:r>
    </w:p>
    <w:p>
      <w:r>
        <w:t xml:space="preserve">wirtschaftlich und effizient wahrnehmen können. Die Entscheidung bedarf</w:t>
      </w:r>
    </w:p>
    <w:p>
      <w:r>
        <w:t xml:space="preserve">des Einvernehmens mit dem Ministerium des Innern.</w:t>
      </w:r>
    </w:p>
    <w:p>
      <w:r>
        <w:t xml:space="preserve">(2) Die Berechnung zur Zahlbarmachung und die Auszahlung des</w:t>
      </w:r>
    </w:p>
    <w:p>
      <w:r>
        <w:t xml:space="preserve">Wohngeldes kann vom Ministerium für Stadtentwicklung, Wohnen und Verkehr</w:t>
      </w:r>
    </w:p>
    <w:p>
      <w:r>
        <w:t xml:space="preserve">im Einvernehmen mit dem Ministerium des Innern auf andere Stellen</w:t>
      </w:r>
    </w:p>
    <w:p>
      <w:r>
        <w:t xml:space="preserve">übertragen werden.</w:t>
      </w:r>
    </w:p>
    <w:p>
      <w:r>
        <w:rPr>
          <w:color w:val="555555"/>
          <w:sz w:val="17"/>
        </w:rPr>
        <w:t xml:space="preserve">Zitiervorschlag: § 1 VO-ID212093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https://recht.nulegal.eu/gesetze/VO-ID212093/1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