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VO-ID212085 (Brandenburg)</w:t>
      </w:r>
    </w:p>
    <w:p>
      <w:r>
        <w:rPr>
          <w:color w:val="555555"/>
          <w:sz w:val="18"/>
        </w:rPr>
        <w:t xml:space="preserve">Verordnung über den Landesentwicklungsplan für den Gesamtraum Berlin-Brandenburg (LEP GR) – ergänzende raumordnerische Festlegungen für den äußeren Entwicklungsraum -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18. August 2004 in Kraft.</w:t>
      </w:r>
    </w:p>
    <w:p>
      <w:r>
        <w:t xml:space="preserve">Potsdam, den 20. Juli 2004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Matthias Platzeck</w:t>
      </w:r>
    </w:p>
    <w:p>
      <w:r>
        <w:t xml:space="preserve">Der Minister für Landwirtschaft,</w:t>
      </w:r>
    </w:p>
    <w:p>
      <w:r>
        <w:t xml:space="preserve">Umweltschutz und Raumordnung</w:t>
      </w:r>
    </w:p>
    <w:p>
      <w:r>
        <w:t xml:space="preserve">In Vertretung</w:t>
      </w:r>
    </w:p>
    <w:p>
      <w:r>
        <w:t xml:space="preserve">Frank Szymanski</w:t>
      </w:r>
    </w:p>
    <w:p>
      <w:r>
        <w:t xml:space="preserve">Hinweis:</w:t>
      </w:r>
    </w:p>
    <w:p>
      <w:r>
        <w:t xml:space="preserve">Eine Verletzung der für Raumordnungspläne geltenden</w:t>
      </w:r>
    </w:p>
    <w:p>
      <w:r>
        <w:t xml:space="preserve">Verfahrens- und Formvorschriften, die nicht schriftlich innerhalb eines Jahres</w:t>
      </w:r>
    </w:p>
    <w:p>
      <w:r>
        <w:t xml:space="preserve">nach der öffentlichen Bekanntmachung geltend gemacht worden ist, ist</w:t>
      </w:r>
    </w:p>
    <w:p>
      <w:r>
        <w:t xml:space="preserve">unbeachtlich (Artikel 9 Abs. 1 des Landesplanungsvertrages).</w:t>
      </w:r>
    </w:p>
    <w:p>
      <w:r>
        <w:rPr>
          <w:color w:val="555555"/>
          <w:sz w:val="17"/>
        </w:rPr>
        <w:t xml:space="preserve">Zitiervorschlag: § 3 VO-ID212085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https://recht.nulegal.eu/gesetze/VO-ID212085/3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