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VO-ID212085 (Brandenburg)</w:t>
      </w:r>
    </w:p>
    <w:p>
      <w:r>
        <w:rPr>
          <w:color w:val="555555"/>
          <w:sz w:val="18"/>
        </w:rPr>
        <w:t xml:space="preserve">Verordnung über den Landesentwicklungsplan für den Gesamtraum Berlin-Brandenburg (LEP GR) – ergänzende raumordnerische Festlegungen für den äußeren Entwicklungsraum -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Der Landesentwicklungsplan für den Gesamtraum</w:t>
      </w:r>
    </w:p>
    <w:p>
      <w:r>
        <w:t xml:space="preserve">Berlin-Brandenburg (LEP GR) – ergänzende raumordnerische Festlegungen</w:t>
      </w:r>
    </w:p>
    <w:p>
      <w:r>
        <w:t xml:space="preserve">für den äußeren Entwicklungsraum – wird im Land</w:t>
      </w:r>
    </w:p>
    <w:p>
      <w:r>
        <w:t xml:space="preserve">Brandenburg bei der gemeinsamen Landesplanungsabteilung der Länder Berlin</w:t>
      </w:r>
    </w:p>
    <w:p>
      <w:r>
        <w:t xml:space="preserve">und Brandenburg sowie bei den Landkreisen, kreisfreien Städten, amtsfreien</w:t>
      </w:r>
    </w:p>
    <w:p>
      <w:r>
        <w:t xml:space="preserve">Gemeinden und Ämtern, auf deren Bereich sich die Planung erstreckt, zur</w:t>
      </w:r>
    </w:p>
    <w:p>
      <w:r>
        <w:t xml:space="preserve">Einsicht für jedermann niedergelegt.</w:t>
      </w:r>
    </w:p>
    <w:p>
      <w:r>
        <w:rPr>
          <w:color w:val="555555"/>
          <w:sz w:val="17"/>
        </w:rPr>
        <w:t xml:space="preserve">Zitiervorschlag: § 2 VO-ID212085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https://recht.nulegal.eu/gesetze/VO-ID212085/2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