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VO-ID212083 (Brandenburg)</w:t>
      </w:r>
    </w:p>
    <w:p>
      <w:r>
        <w:rPr>
          <w:color w:val="555555"/>
          <w:sz w:val="18"/>
        </w:rPr>
        <w:t xml:space="preserve">Verordnung über die Verbindlichkeit des Sanierungsplanes Brieskow-Finkenheerd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23. September 1999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Umwelt, Naturschutz</w:t>
      </w:r>
    </w:p>
    <w:p>
      <w:r>
        <w:t xml:space="preserve">und Raumordnung</w:t>
      </w:r>
    </w:p>
    <w:p>
      <w:r>
        <w:t xml:space="preserve">Eberhard Henne</w:t>
      </w:r>
    </w:p>
    <w:p>
      <w:r>
        <w:rPr>
          <w:color w:val="555555"/>
          <w:sz w:val="17"/>
        </w:rPr>
        <w:t xml:space="preserve">Zitiervorschlag: § 2 VO-ID212083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https://recht.nulegal.eu/gesetze/VO-ID212083/2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