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VO-ID212073 (Brandenburg)</w:t>
      </w:r>
    </w:p>
    <w:p>
      <w:r>
        <w:rPr>
          <w:color w:val="555555"/>
          <w:sz w:val="18"/>
        </w:rPr>
        <w:t xml:space="preserve">Verordnung über die Verbindlichkeit des Sanierungsplanes Tröbitz/Domsdorf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15. April 1997 in</w:t>
      </w:r>
    </w:p>
    <w:p>
      <w:r>
        <w:t xml:space="preserve">Kraft.</w:t>
      </w:r>
    </w:p>
    <w:p>
      <w:r>
        <w:t xml:space="preserve">Potsdam, den 17. Juni 1997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 und</w:t>
      </w:r>
    </w:p>
    <w:p>
      <w:r>
        <w:t xml:space="preserve">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2 VO-ID212073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https://recht.nulegal.eu/gesetze/VO-ID212073/2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