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VO-ID212070 (Brandenburg)</w:t>
      </w:r>
    </w:p>
    <w:p>
      <w:r>
        <w:rPr>
          <w:color w:val="555555"/>
          <w:sz w:val="18"/>
        </w:rPr>
        <w:t xml:space="preserve">Verordnung über die Verbindlichkeit des Sanierungsplanes Restlochkette Sedlitz, Skado, Koschen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1. Januar 1994 in Kraft.</w:t>
      </w:r>
    </w:p>
    <w:p>
      <w:r>
        <w:t xml:space="preserve">Potsdam, den 18. Februar 1994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Umwelt,</w:t>
      </w:r>
    </w:p>
    <w:p>
      <w:r>
        <w:t xml:space="preserve">Naturschutz und Raumordnung</w:t>
      </w:r>
    </w:p>
    <w:p>
      <w:r>
        <w:t xml:space="preserve">Matthias Platzeck</w:t>
      </w:r>
    </w:p>
    <w:p>
      <w:r>
        <w:rPr>
          <w:color w:val="555555"/>
          <w:sz w:val="17"/>
        </w:rPr>
        <w:t xml:space="preserve">Zitiervorschlag: § 2 VO-ID212070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https://recht.nulegal.eu/gesetze/VO-ID212070/2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