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VO-ID212059 (Brandenburg)</w:t>
      </w:r>
    </w:p>
    <w:p>
      <w:r>
        <w:rPr>
          <w:color w:val="555555"/>
          <w:sz w:val="18"/>
        </w:rPr>
        <w:t xml:space="preserve">Verordnung über die Festlegung eines Planungsgebietes gemäß § 9a Abs. 3 des Bundesfernstraßengesetzes in der Stadt Forst für den Neubau der B 112 als Ortsumgehung Forst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Vom Tage des In-Kraft-Tretens dieser Verordnung an dürfen auf den</w:t>
      </w:r>
    </w:p>
    <w:p>
      <w:r>
        <w:t xml:space="preserve">im Planungsgebiet liegenden Flächen wesentliche wertsteigernde oder den</w:t>
      </w:r>
    </w:p>
    <w:p>
      <w:r>
        <w:t xml:space="preserve">geplanten Straßenbau erheblich erschwerende Veränderungen nicht</w:t>
      </w:r>
    </w:p>
    <w:p>
      <w:r>
        <w:t xml:space="preserve">vorgenommen werden. Ausnahmen können nach § 9a Abs. 5 des</w:t>
      </w:r>
    </w:p>
    <w:p>
      <w:r>
        <w:t xml:space="preserve">Bundesfernstraßengesetzes zugelassen werden, wenn überwiegend</w:t>
      </w:r>
    </w:p>
    <w:p>
      <w:r>
        <w:t xml:space="preserve">öffentliche Belange nicht entgegenstehen. Über Ausnahmen entscheidet</w:t>
      </w:r>
    </w:p>
    <w:p>
      <w:r>
        <w:t xml:space="preserve">als untere Straßenbaubehörde das Brandenburgische</w:t>
      </w:r>
    </w:p>
    <w:p>
      <w:r>
        <w:t xml:space="preserve">Straßenbauamt Cottbus.</w:t>
      </w:r>
    </w:p>
    <w:p>
      <w:r>
        <w:t xml:space="preserve">(2) Veränderungen, die in rechtlich zulässiger Weise vor dem</w:t>
      </w:r>
    </w:p>
    <w:p>
      <w:r>
        <w:t xml:space="preserve">In-Kraft-Treten der Verordnung begonnen worden sind, Unterhaltungsarbeiten und</w:t>
      </w:r>
    </w:p>
    <w:p>
      <w:r>
        <w:t xml:space="preserve">die Fortführung einer bisher ausgeübten Nutzung werden hiervon nicht</w:t>
      </w:r>
    </w:p>
    <w:p>
      <w:r>
        <w:t xml:space="preserve">berührt (§ 9a Abs. 1 und 3 Satz 4 des</w:t>
      </w:r>
    </w:p>
    <w:p>
      <w:r>
        <w:t xml:space="preserve">Bundesfernstraßengesetzes). Zuwiderhandlungen können</w:t>
      </w:r>
    </w:p>
    <w:p>
      <w:r>
        <w:t xml:space="preserve">gemäß § 23 Abs. 1 Nr. 10 und § 23 Abs. 2 des</w:t>
      </w:r>
    </w:p>
    <w:p>
      <w:r>
        <w:t xml:space="preserve">Bundesfernstraßengesetzes als Ordnungswidrigkeiten mit einer</w:t>
      </w:r>
    </w:p>
    <w:p>
      <w:r>
        <w:t xml:space="preserve">Geldbuße geahndet werden.</w:t>
      </w:r>
    </w:p>
    <w:p>
      <w:r>
        <w:rPr>
          <w:color w:val="555555"/>
          <w:sz w:val="17"/>
        </w:rPr>
        <w:t xml:space="preserve">Zitiervorschlag: § 2 VO-ID212059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https://recht.nulegal.eu/gesetze/VO-ID212059/2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