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VO-ID212055 (Brandenburg)</w:t>
      </w:r>
    </w:p>
    <w:p>
      <w:r>
        <w:rPr>
          <w:color w:val="555555"/>
          <w:sz w:val="18"/>
        </w:rPr>
        <w:t xml:space="preserve">Verordnung zur Übertragung von Zuständigkeiten für die Wahl ehrenamtlicher Richter in der Verwaltungsgerichtsbarkeit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Das für Justiz zuständige Mitglied der Landesregierung beruft die ehrenamtlichen Richter für die Fachkammern nach § 109 Abs. 1 Satz 1 des Bundespersonalvertretungsgesetzes sowie für die Fachkammern und Fachsenate nach § 101 Abs. 1 Satz 1 des Landespersonalvertretungsgesetzes.</w:t>
      </w:r>
    </w:p>
    <w:p>
      <w:r>
        <w:rPr>
          <w:color w:val="555555"/>
          <w:sz w:val="17"/>
        </w:rPr>
        <w:t xml:space="preserve">Zitiervorschlag: § 2 VO-ID212055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https://recht.nulegal.eu/gesetze/VO-ID212055/2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