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VO-ID212029 (Brandenburg) — Zulässige Handlungen</w:t>
      </w:r>
    </w:p>
    <w:p>
      <w:r>
        <w:rPr>
          <w:color w:val="555555"/>
          <w:sz w:val="18"/>
        </w:rPr>
        <w:t xml:space="preserve">Verordnung über das Naturschutzgebiet „Langer Grund-Kohlberg“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der guten fachlichen Praxis entsprechende landwirtschaftliche Bodennutzung in der bisherigen Art und im bisherigen Umfang auf den bisher rechtmäßig dafür genutzten Flächen mit der Maßgabe, dass</w:t>
      </w:r>
    </w:p>
    <w:p>
      <w:r>
        <w:t xml:space="preserve">auf Grünland die jährliche Zufuhr an Pflanzennährstoffen über Düngemittel inklusive der Exkremente von Weidetieren je Hektar die Menge nicht überschreitet, die dem Nährstoffäquivalent des Dunganfalls von 1,4 Großvieheinheiten (GVE) entspricht, ohne chemisch-synthetische Stickstoffdüngemittel, Gülle oder Sekundärrohstoffdünger wie Abwasser, Klärschlamm oder Bioabfälle einzusetzen,</w:t>
      </w:r>
    </w:p>
    <w:p>
      <w:r>
        <w:t xml:space="preserve">darüber hinaus auf Grünland in der Zone 1 die Ausbringung von Düngemitteln unterbleibt,</w:t>
      </w:r>
    </w:p>
    <w:p>
      <w:r>
        <w:t xml:space="preserve">auf Grünland § 4 Abs. 2 Nr. 21 und 22 gilt, wobei eine umbruchlose Nachsaat nur bei Narbenschäden mit Genehmigung der unteren Naturschutzbehörde zulässig ist. Die Genehmigung ist zu erteilen, wenn der Schutzzweck nicht beeinträchtigt wird,</w:t>
      </w:r>
    </w:p>
    <w:p>
      <w:r>
        <w:t xml:space="preserve">Pferchungen nur außerhalb von Trockenrasen und mageren Flachland-Mähwiesen erfolgen;</w:t>
      </w:r>
    </w:p>
    <w:p>
      <w:r>
        <w:t xml:space="preserve">die den in § 1b Abs. 5 des Brandenburgischen Naturschutzgesetzes genannten Anforderungen entsprechende forstwirtschaftliche Bodennutzung in der bisherigen Art und im bisherigen Umfang auf den bisher rechtmäßig dafür genutzten Flächen mit der Maßgabe, dass</w:t>
      </w:r>
    </w:p>
    <w:p>
      <w:r>
        <w:t xml:space="preserve">nur Arten der potenziellen natürlichen Vegetation eingebracht werden dürfen, wobei nur heimische Baumarten unter Ausschluss eingebürgerter Arten zu verwenden sind. Nebenbaumarten dürfen dabei nicht als Hauptbaumart eingesetzt werden,</w:t>
      </w:r>
    </w:p>
    <w:p>
      <w:r>
        <w:t xml:space="preserve">stehendes Totholz mit mehr als 30 Zentimeter Stammdurchmesser in 1,30 Meter Höhe über dem Stammfuß nicht gefällt wird und liegendes Totholz an Ort und Stelle verbleibt,</w:t>
      </w:r>
    </w:p>
    <w:p>
      <w:r>
        <w:t xml:space="preserve">§ 4 Abs. 2 Nr. 21 gilt;</w:t>
      </w:r>
    </w:p>
    <w:p>
      <w:r>
        <w:t xml:space="preserve">für den Bereich der Jagd:</w:t>
      </w:r>
    </w:p>
    <w:p>
      <w:r>
        <w:t xml:space="preserve">die rechtmäßige Ausübung der Jagd mit der Maßgabe, dass</w:t>
      </w:r>
    </w:p>
    <w:p>
      <w:r>
        <w:t xml:space="preserve">aa) die Fallenjagd nur mit Lebendfallen erfolgt,</w:t>
      </w:r>
    </w:p>
    <w:p>
      <w:r>
        <w:t xml:space="preserve">bb) keine Baujagd in einem Abstand von bis zu 100 Metern von den Gewässerufern vorgenommen wird,</w:t>
      </w:r>
    </w:p>
    <w:p>
      <w:r>
        <w:t xml:space="preserve">die Errichtung ortsunveränderlicher jagdlicher Einrichtungen zur Ansitzjagd außerhalb gesetzlich geschützter Biotope und der mageren Flachland-Mähwiesen,</w:t>
      </w:r>
    </w:p>
    <w:p>
      <w:r>
        <w:t xml:space="preserve">die Anlage transportabler und mobiler Ansitzeinrichtungen,</w:t>
      </w:r>
    </w:p>
    <w:p>
      <w:r>
        <w:t xml:space="preserve">die Anlage von Kirrungen, Wildfütterungen in Notzeiten, Ansaatwildwiesen und Wildäckern außerhalb gesetzlich geschützter Biotope und der mageren Flachland-Mähwiesen;</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zugelassen oder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das Betreten des Alten Schafstalls und der angrenzenden Grünlandfläche der Gemarkung Dolgelin, Flur 3, Flurstück 69, sowie die jährliche Durchführung der traditionellen Veranstaltungen am Alten Schafstall anlässlich der Adonisröschen-Wanderung und des Himmelfahrtsgottesdienstes.</w:t>
      </w:r>
    </w:p>
    <w:p>
      <w:r>
        <w:t xml:space="preserve">(2) Die in § 4 für das Befahren und Betreten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soweit dies zur Ausübung der nach Absatz 1 zulässigen Handlungen erforderlich ist; das Gestattungserfordernis nach § 16 Abs. 2 des Waldgesetzes des Landes Brandenburg bleibt unberührt.</w:t>
      </w:r>
    </w:p>
    <w:p>
      <w:r>
        <w:rPr>
          <w:color w:val="555555"/>
          <w:sz w:val="17"/>
        </w:rPr>
        <w:t xml:space="preserve">Zitiervorschlag: § 5 VO-ID212029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https://recht.nulegal.eu/gesetze/VO-ID212029/5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