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VO-ID212029 (Brandenburg) — In-Kraft-Treten</w:t>
      </w:r>
    </w:p>
    <w:p>
      <w:r>
        <w:rPr>
          <w:color w:val="555555"/>
          <w:sz w:val="18"/>
        </w:rPr>
        <w:t xml:space="preserve">Verordnung über das Naturschutzgebiet „Langer Grund-Kohlberg“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§ 5 Abs. 1 Nr. 1 Buchstabe a bis c dieser Verordnung tritt am 1. Juli 2006 in Kraft. Im Übrigen tritt diese Verordnung am Tage nach der Verkündung in Kraft.</w:t>
      </w:r>
    </w:p>
    <w:p>
      <w:r>
        <w:t xml:space="preserve">Potsdam, den 1. November 2005</w:t>
      </w:r>
    </w:p>
    <w:p>
      <w:r>
        <w:t xml:space="preserve">Der Minister für Ländliche Entwicklung, 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§ 11 VO-ID212029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https://recht.nulegal.eu/gesetze/VO-ID212029/11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