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VO-ID212029 (Brandenburg) — Geltendmachen von Rechtsmängeln</w:t>
      </w:r>
    </w:p>
    <w:p>
      <w:r>
        <w:rPr>
          <w:color w:val="555555"/>
          <w:sz w:val="18"/>
        </w:rPr>
        <w:t xml:space="preserve">Verordnung über das Naturschutzgebiet „Langer Grund-Kohlberg“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Ministerium für Ländliche Entwicklung, Umwelt und Verbraucherschutz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VO-ID212029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https://recht.nulegal.eu/gesetze/VO-ID212029/10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