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VO-ID212023 (Brandenburg) — Duldungspflicht, Verhältnis zu anderen naturschutzrechtlichen Bestimmungen</w:t>
      </w:r>
    </w:p>
    <w:p>
      <w:r>
        <w:rPr>
          <w:color w:val="555555"/>
          <w:sz w:val="18"/>
        </w:rPr>
        <w:t xml:space="preserve">Verordnung über das Naturschutzgebiet „Randowhänge bei Schmölln“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Duldung von Maßnahmen des Naturschutzes und der Landschaftspflege, die zur Ausführung der in dieser Verordnung festgelegten Schutz-, Pflege- und Entwicklungsmaßnahmen und zur Verwirklichung des Schutzzwecks erforderlich sind, richtet sich nach § 68 des Brandenburgischen Naturschutzgesetzes.</w:t>
      </w:r>
    </w:p>
    <w:p>
      <w:r>
        <w:t xml:space="preserve">(2) Die Vorschriften dieser Verordnung gehen anderen naturschutzrechtlichen Schutzgebietsausweisungen im Bereich des in § 2 genannten Gebietes vor.</w:t>
      </w:r>
    </w:p>
    <w:p>
      <w:r>
        <w:t xml:space="preserve">(3) Soweit diese Verordnung keine weiter gehenden Vorschriften enthält, bleiben die Regelungen über gesetzlich geschützte Teile von Natur und Landschaft (§§ 31 bis 35 des Brandenburgischen Naturschutzgesetzes) und über den Schutz und die Pflege wild lebender Tier- und Pflanzenarten (§§ 39 bis 55 des Bundesnaturschutzgesetzes, §§ 37 bis 43a des Brandenburgischen Naturschutzgesetzes) unberührt.</w:t>
      </w:r>
    </w:p>
    <w:p>
      <w:r>
        <w:rPr>
          <w:color w:val="555555"/>
          <w:sz w:val="17"/>
        </w:rPr>
        <w:t xml:space="preserve">Zitiervorschlag: § 9 VO-ID212023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https://recht.nulegal.eu/gesetze/VO-ID212023/9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