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VO-ID212023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„Randowhänge bei Schmölln“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das Grünland soll möglichst mit Schafen und Ziegen beweidet oder gemäht werden;</w:t>
      </w:r>
    </w:p>
    <w:p>
      <w:r>
        <w:t xml:space="preserve">für Nachsaaten soll Saatgut einheimischer, standorttypischer Arten verwendet werden;</w:t>
      </w:r>
    </w:p>
    <w:p>
      <w:r>
        <w:t xml:space="preserve">es sollen strukturreiche Waldmäntel und -säume erhalten und entwickelt werden;</w:t>
      </w:r>
    </w:p>
    <w:p>
      <w:r>
        <w:t xml:space="preserve">gebietsfremde Gehölzarten, wie Robinie und Grau-Erle, sollen zurückgedrängt werden.</w:t>
      </w:r>
    </w:p>
    <w:p>
      <w:r>
        <w:rPr>
          <w:color w:val="555555"/>
          <w:sz w:val="17"/>
        </w:rPr>
        <w:t xml:space="preserve">Zitiervorschlag: § 6 VO-ID212023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https://recht.nulegal.eu/gesetze/VO-ID212023/6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