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VO-ID212023 (Brandenburg) — Zulässige Handlungen</w:t>
      </w:r>
    </w:p>
    <w:p>
      <w:r>
        <w:rPr>
          <w:color w:val="555555"/>
          <w:sz w:val="18"/>
        </w:rPr>
        <w:t xml:space="preserve">Verordnung über das Naturschutzgebiet „Randowhänge bei Schmölln“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1b Abs. 4 des Brandenburgischen Naturschutzgesetzes genannten Anforderungen und Grundsätzen der guten fachlichen Praxis entsprechende landwirtschaftliche Bodennutzung in der bisherigen Art und im bisherigen Umfang auf den bisher rechtmäßig dafür genutzten Flächen mit der Maßgabe, dass</w:t>
      </w:r>
    </w:p>
    <w:p>
      <w:r>
        <w:t xml:space="preserve">Grünland als Wiese oder Weide mit einer Besatzdichte im Jahresmittel von maximal 1,4 Großvieheinheiten (GVE) pro Hektar genutzt wird. § 4 Abs. 2 Nr. 15, 21 und 22 gilt auf Grünland weiterhin, bei Narbenschäden bleibt eine umbruchlose Nachsaat zulässig,</w:t>
      </w:r>
    </w:p>
    <w:p>
      <w:r>
        <w:t xml:space="preserve">eine Beweidung der Trockenhänge bei Narbenschäden unterbleibt,</w:t>
      </w:r>
    </w:p>
    <w:p>
      <w:r>
        <w:t xml:space="preserve">die Gewässerufer und Quellbereiche von einer Beweidung auszunehmen sind;</w:t>
      </w:r>
    </w:p>
    <w:p>
      <w:r>
        <w:t xml:space="preserve">die den in § 1b Abs. 5 des Brandenburgischen Naturschutzgesetzes genannten Anforderungen entsprechende forstwirtschaftliche Bodennutzung in der bisherigen Art und im bisherigen Umfang auf den bisher rechtmäßig dafür genutzten Flächen mit der Maßgabe, dass</w:t>
      </w:r>
    </w:p>
    <w:p>
      <w:r>
        <w:t xml:space="preserve">eine Nutzung der in § 3 genannten Waldgesellschaften nur einzelstammweise bis truppweise erfolgt,</w:t>
      </w:r>
    </w:p>
    <w:p>
      <w:r>
        <w:t xml:space="preserve">nur Arten der potenziell natürlichen Vegetation eingebracht werden dürfen, wobei nur heimische Baumarten unter Ausschluss eingebürgerter Arten zu verwenden sind. Nebenbaumarten dürfen dabei nicht als Hauptbaumart eingesetzt werden,</w:t>
      </w:r>
    </w:p>
    <w:p>
      <w:r>
        <w:t xml:space="preserve">pro Hektar mindestens fünf Stämme mit einem Mindestdurchmesser von 40 Zentimetern in 1,30 Meter Höhe über dem Stammfuß bis zum Absterben aus der Nutzung genommen sein müssen,</w:t>
      </w:r>
    </w:p>
    <w:p>
      <w:r>
        <w:t xml:space="preserve">stehendes Totholz mit mehr als 30 Zentimetern Stammdurchmesser in 1,30 Meter Höhe über dem Stammfuß nicht gefällt wird und liegendes Totholz an Ort und Stelle verbleibt,</w:t>
      </w:r>
    </w:p>
    <w:p>
      <w:r>
        <w:t xml:space="preserve">das Befahren hydromorpher Böden sowie von Böden mit einem hohen Anteil an feinkörnigem Substrat nur bei Frost oder in Trockenperioden auf dauerhaft gekennzeichneten Rückegassen erfolgt,</w:t>
      </w:r>
    </w:p>
    <w:p>
      <w:r>
        <w:t xml:space="preserve">§ 4 Abs. 2 Nr. 21 gilt;</w:t>
      </w:r>
    </w:p>
    <w:p>
      <w:r>
        <w:t xml:space="preserve">die den in § 1b Abs. 6 des Brandenburgischen Naturschutzgesetzes genannten Anforderungen in Verbindung mit dem Fischereigesetz für das Land Brandenburg entsprechende fischereiwirtschaftliche Flächennutzung in der bisherigen Art und im bisherigen Umfang auf den bisher rechtmäßig dafür genutzten Flächen mit der Maßgabe, dass der Fischbesatz nur mit heimischen Arten erfolgt;</w:t>
      </w:r>
    </w:p>
    <w:p>
      <w:r>
        <w:t xml:space="preserve">die rechtmäßige Ausübung der Angelfischerei mit der Maßgabe, dass</w:t>
      </w:r>
    </w:p>
    <w:p>
      <w:r>
        <w:t xml:space="preserve">die Angelfischerei außerhalb von Verlandungsbereichen, Röhrichten und Schwimmblattgesellschaften erfolgt,</w:t>
      </w:r>
    </w:p>
    <w:p>
      <w:r>
        <w:t xml:space="preserve">der Fischbesatz nur mit heimischen Arten erfolgt; § 13 der Fischereiordnung des Landes Brandenburg bleibt unberührt,</w:t>
      </w:r>
    </w:p>
    <w:p>
      <w:r>
        <w:t xml:space="preserve">§ 4 Abs. 2 Nr. 17 gilt;</w:t>
      </w:r>
    </w:p>
    <w:p>
      <w:r>
        <w:t xml:space="preserve">für den Bereich der Jagd:</w:t>
      </w:r>
    </w:p>
    <w:p>
      <w:r>
        <w:t xml:space="preserve">die rechtmäßige Ausübung der Jagd,</w:t>
      </w:r>
    </w:p>
    <w:p>
      <w:r>
        <w:t xml:space="preserve">die Errichtung ortsunveränderlicher jagdlicher Einrichtungen zur Ansitzjagd mit Zustimmung der unteren Naturschutzbehörde. Die Zustimmung ist zu erteilen, wenn der Schutzzweck nicht beeinträchtigt wird,</w:t>
      </w:r>
    </w:p>
    <w:p>
      <w:r>
        <w:t xml:space="preserve">der Einsatz transportabler und mobiler Ansitzeinrichtungen,</w:t>
      </w:r>
    </w:p>
    <w:p>
      <w:r>
        <w:t xml:space="preserve">Fütterungen in Notzeiten und Ablenkfütterungen so-wie die Anlage von Kirrungen, Ansaatwildwiesen und Wildäckern außerhalb von gesetzlich geschützten Biotopen;</w:t>
      </w:r>
    </w:p>
    <w:p>
      <w:r>
        <w:t xml:space="preserve">das nichtgewerbliche Sammeln von Pilzen und Wildfrüchten nach dem 15. Juli eines jeden Jahres;</w:t>
      </w:r>
    </w:p>
    <w:p>
      <w:r>
        <w:t xml:space="preserve">die im Sinne des § 10 des Brandenburgischen Straßengesetzes ordnungsgemäße Unterhaltung der dem öffentlichen Verkehr gewidmeten Straßen und Wege, die im Sinne der §§ 28 des Wasserhaushaltsgesetzes und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im Rahmen der nach Absatz 1 zulässigen Handlungen; das Gestattungserfordernis nach § 16 Abs. 2 des Waldgesetzes des Landes Brandenburg bleibt unberührt.</w:t>
      </w:r>
    </w:p>
    <w:p>
      <w:r>
        <w:rPr>
          <w:color w:val="555555"/>
          <w:sz w:val="17"/>
        </w:rPr>
        <w:t xml:space="preserve">Zitiervorschlag: § 5 VO-ID212023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https://recht.nulegal.eu/gesetze/VO-ID212023/5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