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VO-ID212017 (Brandenburg) — Zulässige Handlungen</w:t>
      </w:r>
    </w:p>
    <w:p>
      <w:r>
        <w:rPr>
          <w:color w:val="555555"/>
          <w:sz w:val="18"/>
        </w:rPr>
        <w:t xml:space="preserve">Verordnung über das Naturschutzgebiet „Beesenberg“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1b Abs. 4 des Brandenburgischen Naturschutzgesetzes genannten Anforderungen und Grundsätzen entsprechende landwirtschaftliche Bodennutzung auf den bisher rechtmäßig dafür genutzten Flächen mit der Maßgabe, dass</w:t>
      </w:r>
    </w:p>
    <w:p>
      <w:r>
        <w:t xml:space="preserve">in der Zone 1 Grünland als Wiese oder Weide mit einer Besatzdichte im Jahresmittel von maximal 1,4 Großvieheinheiten (GVE) pro Hektar genutzt wird und Bestände der Sumpf-Engelwurz gegen Verbiss und Trittschäden durch weidende Nutztiere geschützt werden.</w:t>
      </w:r>
    </w:p>
    <w:p>
      <w:r>
        <w:t xml:space="preserve">Im Übrigen gilt § 4 Abs. 2 Nr. 15 und 21,</w:t>
      </w:r>
    </w:p>
    <w:p>
      <w:r>
        <w:t xml:space="preserve">in der Zone 1 bei in Flur oder oberflächennah bis 20 Zentimeter unter Flur anstehendem Wasser eine Beweidung unterbleibt,</w:t>
      </w:r>
    </w:p>
    <w:p>
      <w:r>
        <w:t xml:space="preserve">in der Zone 2 Grünland als Wiese oder Weide genutzt wird und die jährliche Zufuhr an Pflanzennährstoffen über Düngemittel inklusive Exkremente von Weidetieren je Hektar Grünland die Menge nicht überschreitet, die dem Nährstoffäquivalent des Dunganfalls von</w:t>
      </w:r>
    </w:p>
    <w:p>
      <w:r>
        <w:t xml:space="preserve">1,4 Großvieheinheiten (GVE) entspricht, ohne chemisch-synthetische Stickstoffdüngemittel, Gülle und Sekundärrohstoffdünger einzusetzen.</w:t>
      </w:r>
    </w:p>
    <w:p>
      <w:r>
        <w:t xml:space="preserve">Im Übrigen gilt § 4 Abs. 2 Nr. 21,</w:t>
      </w:r>
    </w:p>
    <w:p>
      <w:r>
        <w:t xml:space="preserve">§ 4 Abs. 2 Nr. 22 gilt, wobei bei Narbenschäden eine umbruchlose Nachsaat mit Zustimmung der unteren Naturschutzbehörde zulässig ist;</w:t>
      </w:r>
    </w:p>
    <w:p>
      <w:r>
        <w:t xml:space="preserve">die den in § 1b Abs. 6 des Brandenburgischen Naturschutzgesetzes genannten Anforderungen in Verbindung mit dem Fischereigesetz für das Land Brandenburg entsprechende fischereiwirtschaftliche Flächennutzung auf den bisher rechtmäßig dafür genutzten Flächen;</w:t>
      </w:r>
    </w:p>
    <w:p>
      <w:r>
        <w:t xml:space="preserve">für den Bereich der Jagd:</w:t>
      </w:r>
    </w:p>
    <w:p>
      <w:r>
        <w:t xml:space="preserve">die rechtmäßige Ausübung der Jagd,</w:t>
      </w:r>
    </w:p>
    <w:p>
      <w:r>
        <w:t xml:space="preserve">die Errichtung ortsunveränderlicher jagdlicher Einrichtungen zur Ansitzjagd mit Zustimmung der unteren Naturschutzbehörde. Die Zustimmung ist zu erteilen, wenn der Schutzzweck nicht beeinträchtigt wird,</w:t>
      </w:r>
    </w:p>
    <w:p>
      <w:r>
        <w:t xml:space="preserve">der Einsatz transportabler und mobiler Ansitzeinrichtungen,</w:t>
      </w:r>
    </w:p>
    <w:p>
      <w:r>
        <w:t xml:space="preserve">die Anlage von Kirrungen außerhalb gesetzlich geschützter Biotope.</w:t>
      </w:r>
    </w:p>
    <w:p>
      <w:r>
        <w:t xml:space="preserve">Im Übrigen bleiben Fütterungen in Notzeiten und Ablenkfütterungen sowie die Anlage von Ansaatwildwiesen und Wildäckern unzulässig;</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zur zulässigen Nutzung des Eigentums sowie für das Betreten und Befahren im Rahmen der nach Absatz 1 zulässigen Handlungen.</w:t>
      </w:r>
    </w:p>
    <w:p>
      <w:r>
        <w:rPr>
          <w:color w:val="555555"/>
          <w:sz w:val="17"/>
        </w:rPr>
        <w:t xml:space="preserve">Zitiervorschlag: § 5 VO-ID212017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VO-ID212017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