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VO-ID212017 (Brandenburg) — Schutzzweck</w:t>
      </w:r>
    </w:p>
    <w:p>
      <w:r>
        <w:rPr>
          <w:color w:val="555555"/>
          <w:sz w:val="18"/>
        </w:rPr>
        <w:t xml:space="preserve">Verordnung über das Naturschutzgebiet „Beesenberg“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Schutzzweck des Naturschutzgebietes, das einen ausgedehnten Quellmoorkomplex und verschiedene Grünlandgesellschaften einschließlich deren Auflassungsstadien auf Niedermoorstandorten im Uckertal umfasst, ist</w:t>
      </w:r>
    </w:p>
    <w:p>
      <w:r>
        <w:t xml:space="preserve">die Erhaltung und naturnahe Wiederherstellung und Entwicklung als Lebensraum wild lebender Pflanzengesellschaften, insbesondere der Seggen- und Röhrichtmoore, seggenreichen Nasswiesen, Flutrasen, Hochstaudenfluren feuchter bis nasser Standorte sowie der Weidengebüsche;</w:t>
      </w:r>
    </w:p>
    <w:p>
      <w:r>
        <w:t xml:space="preserve">die Erhaltung und Entwicklung des Lebensraums wild lebender Pflanzenarten, darunter nach § 10 Abs. 2 Nr. 10 des Bundesnaturschutzgesetzes besonders geschützter Arten wie Sumpf-Herzblatt (Parnassia palustris), Sumpf-Platterbse (Lathyrus palustris), Fieberklee (Menyanthes trifoliata), Blauer Tarant (Swertia perennis) und Prachtnelke (Dianthus superbus);</w:t>
      </w:r>
    </w:p>
    <w:p>
      <w:r>
        <w:t xml:space="preserve">die Erhaltung und Entwicklung des Gebietes als Lebens- beziehungsweise Rückzugsraum und potenzielles Wiederausbreitungszentrum wild lebender Tierarten, darunter nach § 10 Abs. 2 Nr. 10 und 11 des Bundesnaturschutzgesetzes besonders und streng geschützter Arten, beispielsweise Teichrohrsänger (Acrocephalus scirpaceus), Blaukehlchen (Luscinia svecica), Bekassine (Gallinago gallinago) und Rohrweihe (Circus aeruginosus);</w:t>
      </w:r>
    </w:p>
    <w:p>
      <w:r>
        <w:t xml:space="preserve">die Erhaltung des größten im Land Brandenburg noch vorhandenen Kalkquellmoores mit einem zum Teil mehr als zwölf Meter mächtigen Moorkörper mit seiner Lage in einem geologisch bedeutsamen Gletscherzungenbecken aus natur- und erdgeschichtlichen Gründen;</w:t>
      </w:r>
    </w:p>
    <w:p>
      <w:r>
        <w:t xml:space="preserve">die Erhaltung des Kalkquellmoor- und Grünlandkomplexes aus wissenschaftlichen Gründen zur Beobachtung und Erforschung der Basen- und Kalkzwischenmoore;</w:t>
      </w:r>
    </w:p>
    <w:p>
      <w:r>
        <w:t xml:space="preserve">die Erhaltung und Wiederherstellung der Funktionalität des Kalkquellmoorkomplexes in seiner Gesamtheit wegen seiner Seltenheit, Vielfalt und besonderen Eigenart;</w:t>
      </w:r>
    </w:p>
    <w:p>
      <w:r>
        <w:t xml:space="preserve">die Erhaltung und Entwicklung des Gebietes als Trittstein naturnaher Niederungsflächen und als bedeutender Teil des überregionalen Biotopverbundes des Uckertales.</w:t>
      </w:r>
    </w:p>
    <w:p>
      <w:r>
        <w:t xml:space="preserve">(2) Die Unterschutzstellung dient der Erhaltung und Entwicklung</w:t>
      </w:r>
    </w:p>
    <w:p>
      <w:r>
        <w:t xml:space="preserve">von Pfeifengraswiesen auf kalkreichem Boden (Molinion caeruleae) und feuchten Hochstaudenfluren der planaren Stufe und kalkreichen Niedermooren als Lebensraumtypen nach Anhang I der Richtlinie 92/43/EWG des Rates vom 21. Mai 1992 zur Erhaltung der natürlichen Lebensräume sowie der wild lebenden Tiere und Pflanzen (ABl. EG Nr. L 206 S. 7), zuletzt geändert durch die Richtlinie 97/62/EG vom 27. Oktober 1997 (ABl. EG Nr. L 305 S. 42) – Fauna-Flora-Habitat-Richtlinie;</w:t>
      </w:r>
    </w:p>
    <w:p>
      <w:r>
        <w:t xml:space="preserve">der Bauchigen Windelschnecke (Vertigo moulinsiana) und der Schmalen Windelschnecke (Vertigo angustior) als Tierarten nach Anhang II der Fauna-Flora-Habitat-Richtlinie einschließlich ihrer für Fortpflanzung, Ernährung, Wanderung und Überwinterung wichtigen Lebensräume;</w:t>
      </w:r>
    </w:p>
    <w:p>
      <w:r>
        <w:t xml:space="preserve">der Sumpf-Engelwurz (Angelica palustris) als Pflanzenart nach Anhang II der Fauna-Flora-Habitat-Richtlinie einschließlich ihrer Lebensräume und der für ihre Reproduktion erforderlichen Standortbedingungen.</w:t>
      </w:r>
    </w:p>
    <w:p>
      <w:r>
        <w:rPr>
          <w:color w:val="555555"/>
          <w:sz w:val="17"/>
        </w:rPr>
        <w:t xml:space="preserve">Zitiervorschlag: § 3 VO-ID212017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