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VO-ID212010 (Brandenburg) — Zulässige Handlungen</w:t>
      </w:r>
    </w:p>
    <w:p>
      <w:r>
        <w:rPr>
          <w:color w:val="555555"/>
          <w:sz w:val="18"/>
        </w:rPr>
        <w:t xml:space="preserve">Verordnung über das Naturschutzgebiet „Havelländisches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neben den Freistellungen der §§ 6 bis 9:</w:t>
      </w:r>
    </w:p>
    <w:p>
      <w:r>
        <w:t xml:space="preserve">die im Sinne des § 10 des Brandenburgischen Straßengesetzes ordnungsgemäße Instandhaltung und Instandsetzung der dem öffentlichen Verkehr gewidmeten Straßen und Wege hinsichtlich der Fahrbahn und des Banketts in der Zeit vom 1. Juli bis zum 30. September eines jeden Jahres, sofern eine Beschädigung des Gehölzbestandes ausgeschlossen ist; alle sonstigen Unterhaltungsmaßnahmen an Straßen und Maßnahmen außerhalb des genannten Zeitraums erfolgen jeweils im Einvernehmen mit der unteren Naturschutzbehörde;</w:t>
      </w:r>
    </w:p>
    <w:p>
      <w:r>
        <w:t xml:space="preserve">die Unterhaltung der Gewässer gemäß §§ 28 des Wasserhaushaltsgesetzes und 78 des Brandenburgischen Wassergesetzes sowie die Wasserregulierung mit der Maßgabe, dass</w:t>
      </w:r>
    </w:p>
    <w:p>
      <w:r>
        <w:t xml:space="preserve">Grundräumungen und Krautungen nur manuell oder mittels Räumkorb vorgenommen werden,</w:t>
      </w:r>
    </w:p>
    <w:p>
      <w:r>
        <w:t xml:space="preserve">Grundräumungen nur abschnittsweise vorgenommen werden,</w:t>
      </w:r>
    </w:p>
    <w:p>
      <w:r>
        <w:t xml:space="preserve">in den Zonen 1 und 2 Grundräumungen und Krautungen von Gräben nur zwischen dem 31. Juli und dem 28. Februar eines jeden Jahres gestattet sind;</w:t>
      </w:r>
    </w:p>
    <w:p>
      <w:r>
        <w:t xml:space="preserve">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das nichtgewerbliche Sammeln von Pilzen und Wildfrüchten nach dem 31. Juli eines jeden Jahres;</w:t>
      </w:r>
    </w:p>
    <w:p>
      <w:r>
        <w:t xml:space="preserve">Maßnahmen zur Untersuchung von altlastenverdächtigen Flächen sowie Verdachtsflächen und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Vergrämungsmaßnahmen zum Schutz landwirtschaftlicher Kulturen vor erheblichen Beeinträchtigungen durch Vögel nach vorheriger schriftlicher oder elektronischer Anzeige bei der Fachbehörde für Naturschutz. Die Fachbehörde für Naturschutz kann die Maßnahmen innerhalb einer Frist von einer Woche untersagen, wenn der Schutzzweck durch die Maßnahme beeinträchtigt wird.</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VO-ID212010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https://recht.nulegal.eu/gesetze/VO-ID212010/5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