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VO-ID212006 (Brandenburg) — Duldungspflicht, Verhältnis zu anderen naturschutzrechtlichen Bestimmungen</w:t>
      </w:r>
    </w:p>
    <w:p>
      <w:r>
        <w:rPr>
          <w:color w:val="555555"/>
          <w:sz w:val="18"/>
        </w:rPr>
        <w:t xml:space="preserve">Verordnung über das Naturschutzgebiet „Biotopverbund Welsengraben“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Duldung von Maßnahmen des Naturschutzes und der Landschaftspflege, die zur Ausführung der in dieser Verordnung festgelegten Schutz-, Pflege- und Entwicklungsmaßnahmen und zur Verwirklichung des Schutzzwecks erforderlich sind, richtet sich nach §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35 des Brandenburgischen Naturschutzgesetzes) und über den Schutz und die Pflege wild lebender Tier- und Pflanzenarten (§§ 39 bis 55 des Bundesnaturschutzgesetzes, §§ 37 bis 43a des Brandenburgischen Naturschutzgesetzes) unberührt.</w:t>
      </w:r>
    </w:p>
    <w:p>
      <w:r>
        <w:rPr>
          <w:color w:val="555555"/>
          <w:sz w:val="17"/>
        </w:rPr>
        <w:t xml:space="preserve">Zitiervorschlag: § 9 VO-ID212006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https://recht.nulegal.eu/gesetze/VO-ID212006/9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