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VO-ID212006 (Brandenburg) — Schutzzweck</w:t>
      </w:r>
    </w:p>
    <w:p>
      <w:r>
        <w:rPr>
          <w:color w:val="555555"/>
          <w:sz w:val="18"/>
        </w:rPr>
        <w:t xml:space="preserve">Verordnung über das Naturschutzgebiet „Biotopverbund Welsengraben“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ein ehemaliges Tonabbaugebiet mit starker Reliefbewegung im Bereich der Granseer Platte umfasst, ist</w:t>
      </w:r>
    </w:p>
    <w:p>
      <w:r>
        <w:t xml:space="preserve">die Erhaltung und Entwicklung als Lebensraum wild lebender Pflanzengesellschaften, insbesondere von Röhrichten, Großseggensumpfgesellschaften, Kohldistelwiesen, Seggen- und Grauweidengebüschen,</w:t>
      </w:r>
    </w:p>
    <w:p>
      <w:r>
        <w:t xml:space="preserve">die Erhaltung und Entwicklung der Lebensräume wild lebender Pflanzenarten, darunter nach § 10 Abs. 2 Nr. 10 des Bundesnaturschutzgesetzes besonders geschützter Arten, beispielsweise Wasser-Feder (Hottonia palustris), Wasser-Schwertlilie (Iris pseudacorus) und Große Teichrose (Nuphar lutea);</w:t>
      </w:r>
    </w:p>
    <w:p>
      <w:r>
        <w:t xml:space="preserve">die Erhaltung und Entwicklung des Gebietes als Lebens- beziehungsweise Rückzugsraum und potenzielles Wiederausbreitungszentrum wild lebender Tierarten, insbesondere der Vögel, Lurche, Kriechtiere und Insekten, darunter nach § 10 Abs. 2 Nr. 10 und 11 des Bundesnaturschutzgesetzes besonders und streng geschützter Arten, beispielsweise Bekassine (Gallinago gallinago), Eisvogel (Alcedo atthis), Flussregenpfeifer (Charadrius dubius), Große Rohrdommel (Botaurus stellaris), Kranich (Grus grus), Rothalstaucher (Podiceps grisegena), Wechselkröte (Bufo viridis), Zauneidechse (Lacerta agilis) und Kaisermantel (Argynnis paphia);</w:t>
      </w:r>
    </w:p>
    <w:p>
      <w:r>
        <w:t xml:space="preserve">die Erhaltung und Entwicklung des Gebietes als Durchgangs-, Rast- und Überwinterungsgebiet für Zugvogelarten, beispielsweise Kranich (Grus grus), Graugans (Anser anser), Kiebitz (Vanellus vanellus) und Krickente (Anas crecca);</w:t>
      </w:r>
    </w:p>
    <w:p>
      <w:r>
        <w:t xml:space="preserve">die Erhaltung des Gebietes wegen der besonderen Eigenart als Tonstichlandschaft in einer großräumigen landwirtschaftlich geprägten Umgebung;</w:t>
      </w:r>
    </w:p>
    <w:p>
      <w:r>
        <w:t xml:space="preserve">die Erhaltung und Entwicklung des Gebietes als Teil der „Zehdenicker-Mildenberger Tonstiche“ im überregionalen Biotopverbund zwischen den Gebieten „Schnelle Havel“ und „Stechlin“.</w:t>
      </w:r>
    </w:p>
    <w:p>
      <w:r>
        <w:t xml:space="preserve">(2) Die Unterschutzstellung dient der Erhaltung und Entwicklung</w:t>
      </w:r>
    </w:p>
    <w:p>
      <w:r>
        <w:t xml:space="preserve">von natürlichen eutrophen Seen mit einer Vegetation des Magnopotamions und Hydrocharitions, von Flüssen der planaren Stufe mit Vegetation des Ranunculion fluitantis und des Callitricho-Batrachion und von feuchten Hochstaudenfluren der planaren Stufe als Lebensraumtypen nach Anhang I der Richtlinie 92/43/EWG des Rates vom 21. Mai 1992 zur Erhaltung der natürlichen Lebensräume sowie der wild lebenden Tiere und Pflanzen (ABl. EG Nr. L 206 S. 7), zuletzt geändert durch die Richtlinie 97/62/EG vom 27. Oktober 1997 (ABl. EG Nr. L 305 S. 42) – Fauna-Flora-Habitat-Richtlinie;</w:t>
      </w:r>
    </w:p>
    <w:p>
      <w:r>
        <w:t xml:space="preserve">der Populationen von Elbebiber (Castor fiber albicus), Fischotter (Lutra lutra), Rotbauchunke (Bombina bombina), Kamm-Molch (Triturus cristatus) und Bitterling (Rhodeus amarus) als Tierarten nach Anhang II der Fauna-Flora-Habitat-Richtlinie, einschließlich ihrer für Fortpflanzung, Ernährung, Wanderung und Überwinterung wichtigen Lebensräume.</w:t>
      </w:r>
    </w:p>
    <w:p>
      <w:r>
        <w:rPr>
          <w:color w:val="555555"/>
          <w:sz w:val="17"/>
        </w:rPr>
        <w:t xml:space="preserve">Zitiervorschlag: § 3 VO-ID212006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https://recht.nulegal.eu/gesetze/VO-ID212006/3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