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VO-ID212002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„Radeberge“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die Forstreinbestände sowie Waldbestockungen mit nicht standortheimischen Baumarten sollen langfristig als naturnahe, standortgerechte Waldbestockungen entwickelt werden;</w:t>
      </w:r>
    </w:p>
    <w:p>
      <w:r>
        <w:t xml:space="preserve">die Alteichenbestände und solitären Altbäume sollen durch geeignete waldbauliche Maßnahmen, wie eine stufenweise Umlichtung, erhalten werden;</w:t>
      </w:r>
    </w:p>
    <w:p>
      <w:r>
        <w:t xml:space="preserve">der Naturverjüngung soll gegenüber Pflanzungen der Vorrang eingeräumt werden;</w:t>
      </w:r>
    </w:p>
    <w:p>
      <w:r>
        <w:t xml:space="preserve">in Zone 1 soll im Anschluss an die in § 5 zugelassene Strukturdurchforstung zur Förderung der naturnahen Waldentwicklung eine Zäunung von Teilflächen erfolgen.</w:t>
      </w:r>
    </w:p>
    <w:p>
      <w:r>
        <w:rPr>
          <w:color w:val="555555"/>
          <w:sz w:val="17"/>
        </w:rPr>
        <w:t xml:space="preserve">Zitiervorschlag: § 7 VO-ID212002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https://recht.nulegal.eu/gesetze/VO-ID212002/7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VO-ID212002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