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VO-ID212002 (Brandenburg) — Zulässige Handlungen</w:t>
      </w:r>
    </w:p>
    <w:p>
      <w:r>
        <w:rPr>
          <w:color w:val="555555"/>
          <w:sz w:val="18"/>
        </w:rPr>
        <w:t xml:space="preserve">Verordnung über das Naturschutzgebiet „Radeberge“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den in § 1b Abs. 4 des Brandenburgischen Naturschutzgesetzes genannten Anforderungen und Grundsätzen entsprechende landwirtschaftliche Bodennutzung in der bisherigen Art und im bisherigen Umfang auf den bisher rechtmäßig dafür genutzten Flächen außerhalb der Zone 1 mit der Maßgabe, dass § 4 Abs. 2 Nr. 14 und 19 gilt;</w:t>
      </w:r>
    </w:p>
    <w:p>
      <w:r>
        <w:t xml:space="preserve">die den in § 1b Abs. 5 des Brandenburgischen Naturschutzgesetzes genannten Anforderungen entsprechende forstwirtschaftliche Bodennutzung auf den bisher rechtmäßig dafür genutzten Flächen außerhalb der Zone 1 mit der Maßgabe, dass</w:t>
      </w:r>
    </w:p>
    <w:p>
      <w:r>
        <w:t xml:space="preserve">ausschließlich standortheimische Baumarten eingebracht werden,</w:t>
      </w:r>
    </w:p>
    <w:p>
      <w:r>
        <w:t xml:space="preserve">keine Kahlhiebe erfolgen,</w:t>
      </w:r>
    </w:p>
    <w:p>
      <w:r>
        <w:t xml:space="preserve">die Alteichen, einschließlich vorhandenen Totholzes sowie Bäume mit Horsten und Höhlen erhalten werden,</w:t>
      </w:r>
    </w:p>
    <w:p>
      <w:r>
        <w:t xml:space="preserve">Totholz, welches keine Gefährdung der Verkehrssicherheit darstellt, im Bestand verbleibt,</w:t>
      </w:r>
    </w:p>
    <w:p>
      <w:r>
        <w:t xml:space="preserve">§ 4 Abs. 2 Nr. 14 und 19 gilt;</w:t>
      </w:r>
    </w:p>
    <w:p>
      <w:r>
        <w:t xml:space="preserve">für den Bereich der Jagd:</w:t>
      </w:r>
    </w:p>
    <w:p>
      <w:r>
        <w:t xml:space="preserve">die rechtmäßige Ausübung der Jagd in der Zone 1 zur Bestandsregulierung von Schalenwild, wenn dies zur Umsetzung des Schutzzweckes nach § 3 oder zur Abwendung von Wildschäden auf land- und forstwirtschaftlichen Flächen notwendig ist sowie die Aufstellung mobiler Ansitzeinrichtungen für den Zeitraum der Jagdausübung außerhalb der Moore. In der Zone 1 bleibt die Anlage von Kirrungen, Ansaatwildwiesen und Wildäckern unzulässig,</w:t>
      </w:r>
    </w:p>
    <w:p>
      <w:r>
        <w:t xml:space="preserve">die rechtmäßige Ausübung der Jagd außerhalb der Zone 1,</w:t>
      </w:r>
    </w:p>
    <w:p>
      <w:r>
        <w:t xml:space="preserve">die Errichtung jagdlicher Ansitzeinrichtungen außerhalb der Zone 1.</w:t>
      </w:r>
    </w:p>
    <w:p>
      <w:r>
        <w:t xml:space="preserve">Außerhalb der Zone 1 bleibt die Anlage von Kirrungen auf Mooren, Feuchtwiesen, Streuobstwiesen, Sandheiden-Säumen und Sandtrockenrasen sowie die Anlage von Ansaatwildwiesen und Wildäckern unzulässig;</w:t>
      </w:r>
    </w:p>
    <w:p>
      <w:r>
        <w:t xml:space="preserve">das nichtgewerbliche Sammeln von Pilzen und Wildfrüchten außerhalb der Zone 1;</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6 VO-ID212002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https://recht.nulegal.eu/gesetze/VO-ID212002/6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VO-ID212002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