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VO-ID212002 (Brandenburg) — Besondere Verbote für die Schutzzone 1</w:t>
      </w:r>
    </w:p>
    <w:p>
      <w:r>
        <w:rPr>
          <w:color w:val="555555"/>
          <w:sz w:val="18"/>
        </w:rPr>
        <w:t xml:space="preserve">Verordnung über das Naturschutzgebiet „Radeberge“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Über die Verbote des § 4 hinaus ist es in der Zone 1 (Naturentwicklungsgebiet) verboten, das Gebiet zu betreten und wirtschaftlich zu nutzen. Im Bereich von Kiefernreinbeständen auf Mineralbodenstandorten kann innerhalb von zehn Jahren nach In-Kraft-Treten dieser Verordnung eine einmalige Strukturdurchforstung als Initialmaßnahme zur Förderung der naturnahen Waldentwicklung erfolgen.</w:t>
      </w:r>
    </w:p>
    <w:p>
      <w:r>
        <w:rPr>
          <w:color w:val="555555"/>
          <w:sz w:val="17"/>
        </w:rPr>
        <w:t xml:space="preserve">Zitiervorschlag: § 5 VO-ID212002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https://recht.nulegal.eu/gesetze/VO-ID212002/5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