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VO-ID212000 (Brandenburg) — Zulässige Handlungen</w:t>
      </w:r>
    </w:p>
    <w:p>
      <w:r>
        <w:rPr>
          <w:color w:val="555555"/>
          <w:sz w:val="18"/>
        </w:rPr>
        <w:t xml:space="preserve">Verordnung über das Naturschutzgebiet „Königsfließ“</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in der bisherigen Art und im bisherigen Umfang auf den bisher rechtmäßig dafür genutzten Flächen mit der Maßgabe, dass § 4 Abs. 2 Nr. 22 gilt;</w:t>
      </w:r>
    </w:p>
    <w:p>
      <w:r>
        <w:t xml:space="preserve">die im Sinne des § 11 Abs. 3 des Brandenburgischen Naturschutzgesetzes ordnungsgemäße forstwirtschaftliche Bodennutzung in der bisherigen Art und im bisherigen Umfang auf den bisher rechtmäßig dafür genutzten Flächen;</w:t>
      </w:r>
    </w:p>
    <w:p>
      <w:r>
        <w:t xml:space="preserve">die im Sinne des § 11 Abs. 4 des Brandenburgischen Naturschutzgesetzes in Verbindung mit § 1 Abs. 1 und 2 des Fischereigesetzes für das Land Brandenburg ordnungsgemäße fischereiwirtschaftliche Flächennutzung in der bisherigen Art und im bisherigen Umfang auf den bisher rechtmäßig dafür genutzten Flächen;</w:t>
      </w:r>
    </w:p>
    <w:p>
      <w:r>
        <w:t xml:space="preserve">die rechtmäßige Ausübung der Angelfischerei;</w:t>
      </w:r>
    </w:p>
    <w:p>
      <w:r>
        <w:t xml:space="preserve">für den Bereich der Jagd:</w:t>
      </w:r>
    </w:p>
    <w:p>
      <w:r>
        <w:t xml:space="preserve">die rechtmäßige Ausübung der Jagd,</w:t>
      </w:r>
    </w:p>
    <w:p>
      <w:r>
        <w:t xml:space="preserve">die Errichtung jagdlicher Einrichtungen,</w:t>
      </w:r>
    </w:p>
    <w:p>
      <w:r>
        <w:t xml:space="preserve">die Anlage von Kirrungen außerhalb der gesetzlich geschützten Biotope;</w:t>
      </w:r>
    </w:p>
    <w:p>
      <w:r>
        <w:t xml:space="preserve">die im Sinne des § 10 des Brandenburgischen Straßengesetzes ordnungsgemäße Unterhaltung der dem öffentlichen Verkehr gewidmeten Straßen und Wege, die im Sinne der §§ 28 des Wasserhaushaltsgesetzes und 78 des Brandenburgischen Wassergesetzes ordnungsgemäße Unterhaltung der Gewässer sowie die ordnungsgemäße Unterhaltung sonstiger rechtmäßig bestehender Anlagen jeweils im Einvernehmen mit der zuständigen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zuständigen unteren Naturschutzbehörde.</w:t>
      </w:r>
    </w:p>
    <w:p>
      <w:r>
        <w:t xml:space="preserve">Schutz-, Pflege- und Entwicklungsmaßnahmen, die von der zuständigen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zuständige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Der Genehmigungsvorbehalt nach § 19 Abs. 3 Satz 2 des Landeswaldgesetzes bleibt unberührt.</w:t>
      </w:r>
    </w:p>
    <w:p>
      <w:r>
        <w:rPr>
          <w:color w:val="555555"/>
          <w:sz w:val="17"/>
        </w:rPr>
        <w:t xml:space="preserve">Zitiervorschlag: § 5 VO-ID212000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https://recht.nulegal.eu/gesetze/VO-ID212000/5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VO-ID212000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