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VO-ID212000 (Brandenburg) — Schutzzweck</w:t>
      </w:r>
    </w:p>
    <w:p>
      <w:r>
        <w:rPr>
          <w:color w:val="555555"/>
          <w:sz w:val="18"/>
        </w:rPr>
        <w:t xml:space="preserve">Verordnung über das Naturschutzgebiet „Königsfließ“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Schutzzweck des Naturschutzgebietes als Teil eines Feuchtniederungsgebietes mit Flachmoorböden innerhalb der Kyritzer Platte ist</w:t>
      </w:r>
    </w:p>
    <w:p>
      <w:r>
        <w:t xml:space="preserve">die Erhaltung und Entwicklung als Lebensraum wild lebender Pflanzengesellschaften, insbesondere der Feuchtwiesen und -weiden sowie der Erlenbruchwälder;</w:t>
      </w:r>
    </w:p>
    <w:p>
      <w:r>
        <w:t xml:space="preserve">die Erhaltung und Entwicklung des Gebietes als Lebens- beziehungsweise Rückzugsraum und potenzielles Wiederausbreitungszentrum wild lebender Tierarten, darunter nach § 10 Abs. 2 Nr. 10 und 11 des Bundesnaturschutzgesetzes besonders und streng geschützter Vogelarten, beispielsweise Kiebitz (Vanellus vanellus), Bekassine (Gallinago gallinago), Sumpfrohrsänger (Acrocephalus palustris), Teichrohrsänger (Acrocephalus scirpaceus), Eisvogel (Alcedo atthis);</w:t>
      </w:r>
    </w:p>
    <w:p>
      <w:r>
        <w:t xml:space="preserve">die Erhaltung und Entwicklung des Gebietes wegen seiner besonderen Eigenart und ökologischen Bedeutung als nahezu unzerschnittenes offenes Feuchtniederungsgebiet mit vielgestaltigen Standortbedingungen;</w:t>
      </w:r>
    </w:p>
    <w:p>
      <w:r>
        <w:t xml:space="preserve">die Erhaltung und Entwicklung des Gebietes als Teil des Biotopverbundes zwischen den Niederungsgebieten Kolreper und Dannenwalder Luch sowie Karthaneniederung.</w:t>
      </w:r>
    </w:p>
    <w:p>
      <w:r>
        <w:rPr>
          <w:color w:val="555555"/>
          <w:sz w:val="17"/>
        </w:rPr>
        <w:t xml:space="preserve">Zitiervorschlag: § 3 VO-ID212000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https://recht.nulegal.eu/gesetze/VO-ID212000/3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