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VO-ID212000 (Brandenburg) — Schutzgegenstand</w:t>
      </w:r>
    </w:p>
    <w:p>
      <w:r>
        <w:rPr>
          <w:color w:val="555555"/>
          <w:sz w:val="18"/>
        </w:rPr>
        <w:t xml:space="preserve">Verordnung über das Naturschutzgebiet „Königsfließ“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260 Hektar. Es umfasst Flächen in folgenden Fluren:</w:t>
      </w:r>
    </w:p>
    <w:p>
      <w:r>
        <w:t xml:space="preserve">Landkreis: Gemeinde: Gemarkung: Flure:</w:t>
      </w:r>
    </w:p>
    <w:p>
      <w:r>
        <w:t xml:space="preserve">Prignitz</w:t>
      </w:r>
    </w:p>
    <w:p>
      <w:r>
        <w:t xml:space="preserve">Gumtow</w:t>
      </w:r>
    </w:p>
    <w:p>
      <w:r>
        <w:t xml:space="preserve">Demerthin</w:t>
      </w:r>
    </w:p>
    <w:p>
      <w:r>
        <w:t xml:space="preserve">5;</w:t>
      </w:r>
    </w:p>
    <w:p>
      <w:r>
        <w:t xml:space="preserve">Prignitz</w:t>
      </w:r>
    </w:p>
    <w:p>
      <w:r>
        <w:t xml:space="preserve">Gumtow</w:t>
      </w:r>
    </w:p>
    <w:p>
      <w:r>
        <w:t xml:space="preserve">Granzow</w:t>
      </w:r>
    </w:p>
    <w:p>
      <w:r>
        <w:t xml:space="preserve">3;</w:t>
      </w:r>
    </w:p>
    <w:p>
      <w:r>
        <w:t xml:space="preserve">Ostprignitz-Ruppin</w:t>
      </w:r>
    </w:p>
    <w:p>
      <w:r>
        <w:t xml:space="preserve">Kyritz</w:t>
      </w:r>
    </w:p>
    <w:p>
      <w:r>
        <w:t xml:space="preserve">Berlitt</w:t>
      </w:r>
    </w:p>
    <w:p>
      <w:r>
        <w:t xml:space="preserve">1;</w:t>
      </w:r>
    </w:p>
    <w:p>
      <w:r>
        <w:t xml:space="preserve">Ostprignitz-Ruppin</w:t>
      </w:r>
    </w:p>
    <w:p>
      <w:r>
        <w:t xml:space="preserve">Kyritz</w:t>
      </w:r>
    </w:p>
    <w:p>
      <w:r>
        <w:t xml:space="preserve">Rehfeld</w:t>
      </w:r>
    </w:p>
    <w:p>
      <w:r>
        <w:t xml:space="preserve">1, 2;</w:t>
      </w:r>
    </w:p>
    <w:p>
      <w:r>
        <w:t xml:space="preserve">Ostprignitz-Ruppin</w:t>
      </w:r>
    </w:p>
    <w:p>
      <w:r>
        <w:t xml:space="preserve">Kyritz</w:t>
      </w:r>
    </w:p>
    <w:p>
      <w:r>
        <w:t xml:space="preserve">Kyritz</w:t>
      </w:r>
    </w:p>
    <w:p>
      <w:r>
        <w:t xml:space="preserve">1;</w:t>
      </w:r>
    </w:p>
    <w:p>
      <w:r>
        <w:t xml:space="preserve">Ostprignitz-Ruppin</w:t>
      </w:r>
    </w:p>
    <w:p>
      <w:r>
        <w:t xml:space="preserve">Kyritz</w:t>
      </w:r>
    </w:p>
    <w:p>
      <w:r>
        <w:t xml:space="preserve">Mechow</w:t>
      </w:r>
    </w:p>
    <w:p>
      <w:r>
        <w:t xml:space="preserve">1, 2, 3.</w:t>
      </w:r>
    </w:p>
    <w:p>
      <w:r>
        <w:t xml:space="preserve">Eine Kartenskizze ist dieser Verordnung zur Orientierung als Anlage beigefügt.</w:t>
      </w:r>
    </w:p>
    <w:p>
      <w:r>
        <w:t xml:space="preserve">(2) Die Grenze des Naturschutzgebietes ist in topografischen Karten im Maßstab 1 : 10 000 und in Flurkarten mit ununterbrochener Linie eingezeichnet; als Grenze gilt der innere Rand dieser Linie. Zur Orientierung ist dieser Verordnung zusätzlich eine Flurstücksliste als Anlage beigefügt. Maßgeblich ist die Einzeichnung in den Flurkarten.</w:t>
      </w:r>
    </w:p>
    <w:p>
      <w:r>
        <w:t xml:space="preserve">(3) Die Verordnung mit Karten kann beim Ministerium für Landwirtschaft, Umweltschutz und Raumordnung des Landes Brandenburg, oberste Naturschutzbehörde, in Potsdam sowie bei den Landkreisen Ostprignitz-Ruppin und Prignitz, untere Naturschutzbehörden,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VO-ID212000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https://recht.nulegal.eu/gesetze/VO-ID212000/2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