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VO-ID211997 (Brandenburg) — In-Kraft-Treten</w:t>
      </w:r>
    </w:p>
    <w:p>
      <w:r>
        <w:rPr>
          <w:color w:val="555555"/>
          <w:sz w:val="18"/>
        </w:rPr>
        <w:t xml:space="preserve">Verordnung über das Naturschutzgebiet „Stockshof-Behlower Wiesen“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Ausgenommen davon sind die Maßgaben zur landwirtschaftlichen Bodennutzung nach § 5 Abs. 1 Nr. 1, die am 1. Juli 2004 in Kraft treten.</w:t>
      </w:r>
    </w:p>
    <w:p>
      <w:r>
        <w:t xml:space="preserve">Potsdam, den 30. September 2003</w:t>
      </w:r>
    </w:p>
    <w:p>
      <w:r>
        <w:rPr>
          <w:color w:val="555555"/>
          <w:sz w:val="17"/>
        </w:rPr>
        <w:t xml:space="preserve">Zitiervorschlag: § 11 VO-ID211997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https://recht.nulegal.eu/gesetze/VO-ID211997/11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