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VO-ID211993 (Brandenburg) — Pflege- und Entwicklungsmaßnahmen</w:t>
      </w:r>
    </w:p>
    <w:p>
      <w:r>
        <w:rPr>
          <w:color w:val="555555"/>
          <w:sz w:val="18"/>
        </w:rPr>
        <w:t xml:space="preserve">Verordnung über das Naturschutzgebiet „Lönnewitzer Heide“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Folgende Pflege- und Entwicklungsmaßnahmen werden als Zielvorgabe benannt:</w:t>
      </w:r>
    </w:p>
    <w:p>
      <w:r>
        <w:t xml:space="preserve">die Trockenrasen und Heideflächen sollen durch geeignete Maßnahmen wie Entbuschung, Beweidung oder Mahd erhalten werden;</w:t>
      </w:r>
    </w:p>
    <w:p>
      <w:r>
        <w:t xml:space="preserve">Höhlenbäume sollen nicht gefällt werden;</w:t>
      </w:r>
    </w:p>
    <w:p>
      <w:r>
        <w:t xml:space="preserve">in den Laubmischwäldern sollen hohe Alt- und Totholzanteile erhalten beziehungsweise entwickelt werden.</w:t>
      </w:r>
    </w:p>
    <w:p>
      <w:r>
        <w:rPr>
          <w:color w:val="555555"/>
          <w:sz w:val="17"/>
        </w:rPr>
        <w:t xml:space="preserve">Zitiervorschlag: § 6 VO-ID211993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https://recht.nulegal.eu/gesetze/VO-ID211993/6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