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VO-ID211993 (Brandenburg) — Zulässige Handlungen</w:t>
      </w:r>
    </w:p>
    <w:p>
      <w:r>
        <w:rPr>
          <w:color w:val="555555"/>
          <w:sz w:val="18"/>
        </w:rPr>
        <w:t xml:space="preserve">Verordnung über das Naturschutzgebiet „Lönnewitzer 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2 des Brandenburgischen Naturschutzgesetzes ordnungsgemäße landwirtschaftliche Bodennutzung in der bisherigen Art und im bisherigen Umfang mit der Maßgabe, dass § 4 Abs. 2 Nr. 21 gilt;</w:t>
      </w:r>
    </w:p>
    <w:p>
      <w:r>
        <w:t xml:space="preserve">die im Sinne des § 11 Abs. 3 des Brandenburgischen Naturschutzgesetzes ordnungsgemäße forstwirtschaftliche Bodennutzung mit der Maßgabe, dass</w:t>
      </w:r>
    </w:p>
    <w:p>
      <w:r>
        <w:t xml:space="preserve">nur Baumarten der potenziellen natürlichen Vegetation eingebracht werden dürfen, wobei nur heimische Baumarten unter Ausschluss eingebürgerter Arten zu verwenden sind,</w:t>
      </w:r>
    </w:p>
    <w:p>
      <w:r>
        <w:t xml:space="preserve">Kahlschläge über 0,5 Hektar verboten sind;</w:t>
      </w:r>
    </w:p>
    <w:p>
      <w:r>
        <w:t xml:space="preserve">für den Bereich der Jagd:</w:t>
      </w:r>
    </w:p>
    <w:p>
      <w:r>
        <w:t xml:space="preserve">die rechtmäßige Ausübung der Jagd mit der Maßgabe, dass die Jagd in der Zeit vom 1. März bis 30. Juni eines jeden Jahres nur vom Ansitz erfolgt,</w:t>
      </w:r>
    </w:p>
    <w:p>
      <w:r>
        <w:t xml:space="preserve">die Errichtung ortsunveränderlicher jagdlicher Einrichtungen zur Ansitzjagd mit Zustimmung der unteren Naturschutzbehörde. Die Zustimmung ist zu erteilen, wenn der Schutzzweck nicht beeinträchtigt wird. Transportable und mobile Ansitzeinrichtungen sind der unteren Naturschutzbehörde vor der Errichtung anzuzeigen. Die untere Naturschutzbehörde kann in begründeten Einzelfällen das Aufstellen verbieten, wenn es dem Schutzzweck entgegensteht. Die Entscheidung hierüber soll unverzüglich erfolgen.</w:t>
      </w:r>
    </w:p>
    <w:p>
      <w:r>
        <w:t xml:space="preserve">Im Übrigen ist die Anlage von Wildäckern und Ansaatwiesen verboten;</w:t>
      </w:r>
    </w:p>
    <w:p>
      <w:r>
        <w:t xml:space="preserve">die im Sinne des § 10 des Brandenburgischen Straßengesetzes ordnungsgemäße Unterhaltung der dem öffentlichen Verkehr gewidmeten Straßen und Wege, die im Sinne des §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angeordnet worden sind;</w:t>
      </w:r>
    </w:p>
    <w:p>
      <w:r>
        <w:t xml:space="preserve">behördlich angeordnete oder zugelassene Beschilderungen soweit sie auf den Schutzzweck des Gebietes hinweisen oder als hoheitliche Kennzeichnungen, Orts- oder Verkehrhinweise, Wegemarkierungen oder Warntafeln dienen;</w:t>
      </w:r>
    </w:p>
    <w:p>
      <w:r>
        <w:t xml:space="preserve">Maßnahmen, die der Abwendung einer unmittelbar drohenden Gefahr für die öffentliche Sicherheit und Ordnung dienen. Die untere Naturschutzbehörde ist über getroffene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VO-ID211993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https://recht.nulegal.eu/gesetze/VO-ID211993/5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