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VO-ID211992 (Brandenburg) — Zulässige Handlungen</w:t>
      </w:r>
    </w:p>
    <w:p>
      <w:r>
        <w:rPr>
          <w:color w:val="555555"/>
          <w:sz w:val="18"/>
        </w:rPr>
        <w:t xml:space="preserve">Verordnung über das Naturschutzgebiet „Milaseen“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3 des Brandenburgischen Naturschutzgesetzes ordnungsgemäße forstwirtschaftliche Bodennutzung auf den bisher rechtmäßig dafür genutzten Flächen mit der Maßgabe, dass</w:t>
      </w:r>
    </w:p>
    <w:p>
      <w:r>
        <w:t xml:space="preserve">nur Baumarten der potenziell natürlichen Vegetation eingebracht werden dürfen,</w:t>
      </w:r>
    </w:p>
    <w:p>
      <w:r>
        <w:t xml:space="preserve">eine Dauerwaldbestockung in einer Breite von 20 Metern entlang der Moore und Seen erhalten bleibt;</w:t>
      </w:r>
    </w:p>
    <w:p>
      <w:r>
        <w:t xml:space="preserve">die Durchführung forstlicher Forschungsvorhaben mit der Maßgabe, dass § 5 Abs. 1 Nr. 1 Buchstabe</w:t>
      </w:r>
    </w:p>
    <w:p>
      <w:r>
        <w:t xml:space="preserve">a und b gilt;</w:t>
      </w:r>
    </w:p>
    <w:p>
      <w:r>
        <w:t xml:space="preserve">die im Sinne des § 11 Abs. 4 des Brandenburgischen Naturschutzgesetzes in Verbindung mit § 1 Abs. 1 und 2 des Fischereigesetzes für das Land Brandenburg ordnungsgemäße fischereiwirtschaftliche Flächennutzung in der bisherigen Art und im bisherigen Umfang auf den bisher rechtmäßig dafür genutzten Flächen mit der Maßgabe, dass</w:t>
      </w:r>
    </w:p>
    <w:p>
      <w:r>
        <w:t xml:space="preserve">nur heimische Fischarten eingebracht werden dürfen. Der Besatz mit Karpfen (Cyprinus carpio) bleibt mit Ausnahme einer Menge von fünf Kilogramm der Klasse K 2 pro Hektar und Jahr bis zum 31. März 2009 unzulässig,</w:t>
      </w:r>
    </w:p>
    <w:p>
      <w:r>
        <w:t xml:space="preserve">§ 4 Abs. 2 Nr. 19 gilt;</w:t>
      </w:r>
    </w:p>
    <w:p>
      <w:r>
        <w:t xml:space="preserve">für den Bereich der Jagd:</w:t>
      </w:r>
    </w:p>
    <w:p>
      <w:r>
        <w:t xml:space="preserve">die rechtmäßige Ausübung der Jagd mit der Maßgabe, dass in den Moor- und Feuchtbereichen die Jagd in der Zeit vom 1. März bis 30. Juni eines Jahres ausschließlich vom Ansitz aus erfolgt,</w:t>
      </w:r>
    </w:p>
    <w:p>
      <w:r>
        <w:t xml:space="preserve">die Errichtung jagdlicher Einrichtungen für die Ansitzjagd außerhalb der Moorbereiche,</w:t>
      </w:r>
    </w:p>
    <w:p>
      <w:r>
        <w:t xml:space="preserve">die Anlage von Kirrungen außerhalb gesetzlich geschützter Biotope,</w:t>
      </w:r>
    </w:p>
    <w:p>
      <w:r>
        <w:t xml:space="preserve">die Unterhaltung der Wildäcker westlich des Dreiecksluchs auf dem Flurstück 26, Flur 3 der Gemarkung Kehrigk. Darüber hinaus bleibt die Anlage von Ansaatwildwiesen und Wildäckern unzulässig;</w:t>
      </w:r>
    </w:p>
    <w:p>
      <w:r>
        <w:t xml:space="preserve">das nichtgewerbliche Sammeln von Pilzen und Waldfrüchten außerhalb der Moore in der Zeit vom 1. August bis 31. Dezember eines jeden Jahres;</w:t>
      </w:r>
    </w:p>
    <w:p>
      <w:r>
        <w:t xml:space="preserve">die rechtmäßige Nutzung des Ferienobjektes am Großen Milasee (Gemarkung Kehrigk, Flur 3, anteilig Flurstück 26);</w:t>
      </w:r>
    </w:p>
    <w:p>
      <w:r>
        <w:t xml:space="preserve">die Nutzung der Badestelle innerhalb des ausgewiesenen, circa 100 Meter breiten und in der topografischen Karte im Maßstab 1 : 10 000 dargestellten Bereiches am Nordostufer des Großen Milasees;</w:t>
      </w:r>
    </w:p>
    <w:p>
      <w:r>
        <w:t xml:space="preserve">die im Sinne des § 10 des Brandenburgischen Straßengesetzes ordnungsgemäße Unterhaltung der dem öffentlichen Verkehr gewidmeten Straßen und Wege, die im Sinne des § 28 des Wasserhaushaltsgesetzes und des §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VO-ID211992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https://recht.nulegal.eu/gesetze/VO-ID211992/5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