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VO-ID211992 (Brandenburg) — Schutzzweck</w:t>
      </w:r>
    </w:p>
    <w:p>
      <w:r>
        <w:rPr>
          <w:color w:val="555555"/>
          <w:sz w:val="18"/>
        </w:rPr>
        <w:t xml:space="preserve">Verordnung über das Naturschutzgebiet „Milaseen“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Schutzzweck des Naturschutzgebietes, das einen Komplex aus sauren bis basenarmen, nährstoffarmen Gewässern, Mooren und Wäldern mit Dünen und Moränenhängen umfasst, ist</w:t>
      </w:r>
    </w:p>
    <w:p>
      <w:r>
        <w:t xml:space="preserve">die Erhaltung und Entwicklung des Gebietes</w:t>
      </w:r>
    </w:p>
    <w:p>
      <w:r>
        <w:t xml:space="preserve">als Lebensraum wild lebender Pflanzengesellschaften, insbesondere der Zwischenmoorgesellschaften, Kiefern-Moorwälder, der Wasserpflanzengesellschaften, Röhrichte und Strandlingsgesellschaften sowie der flechten-, moos- und beerkrautreichen Kiefernwälder, der Dünen und Heide,</w:t>
      </w:r>
    </w:p>
    <w:p>
      <w:r>
        <w:t xml:space="preserve">als Lebensraum wild lebender Tierarten, insbesondere der an die spezifischen Moor- und Gewässerlebensräume und lichten Kiefernwälder angepassten Insekten, Amphibien und Reptilien sowie der störungsempfindlichen Vogelarten wie Kranich und Seeadler;</w:t>
      </w:r>
    </w:p>
    <w:p>
      <w:r>
        <w:t xml:space="preserve">die Erhaltung und Entwicklung der Lebensräume wild lebender Pflanzenarten, darunter nach § 10 Abs. 2 Nr. 10 des Bundesnaturschutzgesetzes besonders geschützter Arten, beispielsweise Mittlerer und Rundblättriger Sonnentau (Drosera intermedia, D. rotundifolia), Weiße Seerose (Nymphea alba), Sumpf-Porst (Ledum palustre), Niedrige Schwarzwurzel (Scorzonera humilis), Weißmoos (Leucobryum spp.), Torfmoose (Sphagnum spp.) und Rentierflechten (Cladonia spp.);</w:t>
      </w:r>
    </w:p>
    <w:p>
      <w:r>
        <w:t xml:space="preserve">die Erhaltung und Entwicklung des Gebietes als Lebens- beziehungsweise Rückzugsraum und potenzielles Wiederausbreitungszentrum wild lebender Tierarten, darunter nach § 10 Abs. 2 Nr. 10 und 11 des Bundesnaturschutzgesetzes besonders und streng geschützter Arten, beispielsweise Waldwasserläufer (Tringa ochropus), Flussregenpfeifer (Charadrius dubius), Schwarzspecht (Dryocopus matius), Bekassine (Gallinago media), Eisvogel (Alcedo atthis), Kranich (Grus grus), Glattnatter (Coronella austriaca), Ringelnatter (Natrix natrix) und Moorfrosch (Rana arvalis);</w:t>
      </w:r>
    </w:p>
    <w:p>
      <w:r>
        <w:t xml:space="preserve">die Erhaltung intakter Moore mit ihrer Wasserspeicherfähigkeit als Grundlage eines naturnahen Gebiets-Wasserhaushaltes sowie als Zeugnisse der nacheiszeitlichen Landschafts- und Vegetationsentwicklung;</w:t>
      </w:r>
    </w:p>
    <w:p>
      <w:r>
        <w:t xml:space="preserve">die Erhaltung von geschlossenen Waldgürteln um die Gewässer und Moore als Schutz- und Pufferzonen der störungsempfindlichen Pflanzengesellschaften und Tierarten;</w:t>
      </w:r>
    </w:p>
    <w:p>
      <w:r>
        <w:t xml:space="preserve">die Entwicklung der Kiefernforste zu naturnahen Kiefern-Mischwäldern;</w:t>
      </w:r>
    </w:p>
    <w:p>
      <w:r>
        <w:t xml:space="preserve">die Erhaltung des Gebietes mit seinen in die hügelreiche Waldlandschaft eingelagerten Mooren und Seen wegen seiner besonderen Eigenart und hervorragenden Schönheit.</w:t>
      </w:r>
    </w:p>
    <w:p>
      <w:r>
        <w:t xml:space="preserve">(2) Die Unterschutzstellung dient der Erhaltung und Entwicklung</w:t>
      </w:r>
    </w:p>
    <w:p>
      <w:r>
        <w:t xml:space="preserve">von trockenen Sandheiden mit Calluna (Heidekraut) und Genista (Ginster), Dünen mit offenen Grasflächen mit Corynephorus (Silbergras) und Agrostis (Straußgras), oligo- bis mesotrophen stehenden Gewässern mit Vegetation der Littorelletea uniflorae, dystrophen Seen, Übergangs- und Schwingrasenmooren und Torfmoor-Schlenken (Rhynchosporion) als Lebensraumtypen nach Anhang I der Richtlinie 92/43/EWG des Rates vom 21. Mai 1992 zur Erhaltung der natürlichen Lebensräume sowie der wild lebenden Tiere und Pflanzen (ABl. EG Nr. L 206 S. 7), zuletzt geändert durch die Richtlinie 97/62/EG vom 27. Oktober 1997 (ABl. EG Nr. L 305 S. 42) – Fauna-Flora-Habitat-Richtlinie;</w:t>
      </w:r>
    </w:p>
    <w:p>
      <w:r>
        <w:t xml:space="preserve">von kalkreichen Sümpfen mit Cladium mariscus (Binsen-Schneide) und Arten des Caricion davallianae, Birken-Moorwald und Waldkiefern-Moorwald als prioritären Lebensraumtypen nach Anhang I der Fauna-Flora-Habitat-Richtlinie;</w:t>
      </w:r>
    </w:p>
    <w:p>
      <w:r>
        <w:t xml:space="preserve">der Habitate und Population des Fischotters (Lutra lutra) und der Libelle Große Moosjungfer (Leucorrhinia pectoralis) als Tierarten nach Anhang II der Fauna-Flora-Habitat-Richtlinie einschließlich ihrer für Fortpflanzung, Ernährung, Wanderung und Überwinterung wichtigen Lebensräume.</w:t>
      </w:r>
    </w:p>
    <w:p>
      <w:r>
        <w:rPr>
          <w:color w:val="555555"/>
          <w:sz w:val="17"/>
        </w:rPr>
        <w:t xml:space="preserve">Zitiervorschlag: § 3 VO-ID211992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https://recht.nulegal.eu/gesetze/VO-ID211992/3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