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VO-ID211992 (Brandenburg) — In-Kraft-Treten, Außer-Kraft-Treten</w:t>
      </w:r>
    </w:p>
    <w:p>
      <w:r>
        <w:rPr>
          <w:color w:val="555555"/>
          <w:sz w:val="18"/>
        </w:rPr>
        <w:t xml:space="preserve">Verordnung über das Naturschutzgebiet „Milaseen“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Diese Verordnung tritt am Tage nach der Verkündung in Kraft.</w:t>
      </w:r>
    </w:p>
    <w:p>
      <w:r>
        <w:t xml:space="preserve">(2) Gleichzeitig tritt der Beschluss Nr. 130 des Bezirkstages Frankfurt (Oder) vom 14. März 1990 über das Naturschutzgebiet „Milaseen“ außer Kraft.</w:t>
      </w:r>
    </w:p>
    <w:p>
      <w:r>
        <w:t xml:space="preserve">Potsdam, den 10. Juli 2003</w:t>
      </w:r>
    </w:p>
    <w:p>
      <w:r>
        <w:rPr>
          <w:color w:val="555555"/>
          <w:sz w:val="17"/>
        </w:rPr>
        <w:t xml:space="preserve">Zitiervorschlag: § 11 VO-ID211992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https://recht.nulegal.eu/gesetze/VO-ID211992/11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