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VO-ID211992 (Brandenburg) — Geltendmachen von Rechtsmängeln</w:t>
      </w:r>
    </w:p>
    <w:p>
      <w:r>
        <w:rPr>
          <w:color w:val="555555"/>
          <w:sz w:val="18"/>
        </w:rPr>
        <w:t xml:space="preserve">Verordnung über das Naturschutzgebiet „Milaseen“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Eine Verletzung von Vorschriften des Brandenburgischen Naturschutzgesetzes oder anderer Rechtsvorschriften kann gegen diese Verordnung nur innerhalb von zwei Jahren nach ihrer Verkündung geltend gemacht werden (§ 47 Abs. 1 Nr. 2 und Abs. 2 der Verwaltungsgerichtsordnung in Verbindung mit § 4 Abs. 1 des Brandenburgischen Verwaltungsgerichtsgesetzes).</w:t>
      </w:r>
    </w:p>
    <w:p>
      <w:r>
        <w:rPr>
          <w:color w:val="555555"/>
          <w:sz w:val="17"/>
        </w:rPr>
        <w:t xml:space="preserve">Zitiervorschlag: § 10 VO-ID211992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https://recht.nulegal.eu/gesetze/VO-ID211992/10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