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VO-ID211991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„Harenzacken“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um den Wasserhaushalt des Waldgebietes „Harenzacken“ zu verbessern, sollen Vorfluter und Entwässerungsgräben möglichst zurückgebaut werden;</w:t>
      </w:r>
    </w:p>
    <w:p>
      <w:r>
        <w:t xml:space="preserve">das Grünland soll extensiv, den Belangen des Artenschutzes angepasst, bewirtschaftet werden;</w:t>
      </w:r>
    </w:p>
    <w:p>
      <w:r>
        <w:t xml:space="preserve">die Anlage von Pufferzonen um Sölle und Kleingewässer wird angestrebt;</w:t>
      </w:r>
    </w:p>
    <w:p>
      <w:r>
        <w:t xml:space="preserve">die Forstflächen sollen möglichst durch Naturverjüngung und Zulassen natürlicher Sukzessionsprozesse in naturnahe, strukturierte Waldbestände überführt werden.</w:t>
      </w:r>
    </w:p>
    <w:p>
      <w:r>
        <w:rPr>
          <w:color w:val="555555"/>
          <w:sz w:val="17"/>
        </w:rPr>
        <w:t xml:space="preserve">Zitiervorschlag: § 6 VO-ID211991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https://recht.nulegal.eu/gesetze/VO-ID211991/6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