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VO-ID211991 (Brandenburg) — Zulässige Handlungen</w:t>
      </w:r>
    </w:p>
    <w:p>
      <w:r>
        <w:rPr>
          <w:color w:val="555555"/>
          <w:sz w:val="18"/>
        </w:rPr>
        <w:t xml:space="preserve">Verordnung über das Naturschutzgebiet „Harenzacken“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in der bisherigen Art und im bisherigen Umfang auf den bisher rechtmäßig dafür genutzten Flächen mit der Maßgabe, dass § 4 Abs. 2 Nr. 22 gilt;</w:t>
      </w:r>
    </w:p>
    <w:p>
      <w:r>
        <w:t xml:space="preserve">die im Sinne des § 11 Abs. 3 des Brandenburgischen Naturschutzgesetzes ordnungsgemäße forstwirtschaftliche Bodennutzung in der bisherigen Art und im bisherigen Umfang auf den bisher rechtmäßig dafür genutzten Flächen mit der Maßgabe, dass</w:t>
      </w:r>
    </w:p>
    <w:p>
      <w:r>
        <w:t xml:space="preserve">Kahlschläge über einen Hektar verboten sind,</w:t>
      </w:r>
    </w:p>
    <w:p>
      <w:r>
        <w:t xml:space="preserve">bei der Wiederaufforstung Baumarten der potenziell natürlichen Vegetation verwendet werden;</w:t>
      </w:r>
    </w:p>
    <w:p>
      <w:r>
        <w:t xml:space="preserve">die im Sinne des § 11 Abs. 4 des Brandenburgischen Naturschutzgesetzes in Verbindung mit § 1 Abs. 1 und 2 des Fischereigesetzes für das Land Brandenburg ordnungsgemäße fischereiwirtschaftliche Flächennutzung in der bisherigen Art und im bisherigen Umfang auf den bisher dafür genutzten Flächen;</w:t>
      </w:r>
    </w:p>
    <w:p>
      <w:r>
        <w:t xml:space="preserve">für den Bereich der Jagd:</w:t>
      </w:r>
    </w:p>
    <w:p>
      <w:r>
        <w:t xml:space="preserve">die rechtmäßige Ausübung der Jagd mit der Maßgabe, dass die Jagd in der Zeit vom 15. März bis 30. Juni eines Jahres ausschließlich vom Ansitz aus erfolgt,</w:t>
      </w:r>
    </w:p>
    <w:p>
      <w:r>
        <w:t xml:space="preserve">die Anlage ortsunveränderlicher jagdlicher Einrichtungen zur Ansitzjagd mit Zustimmung der unteren Naturschutzbehörde. Die Zustimmung ist zu erteilen, wenn der Schutzzweck nicht beeinträchtigt wird,</w:t>
      </w:r>
    </w:p>
    <w:p>
      <w:r>
        <w:t xml:space="preserve">das Aufstellen mobiler Ansitzeinrichtungen,</w:t>
      </w:r>
    </w:p>
    <w:p>
      <w:r>
        <w:t xml:space="preserve">die Anlage von Kirrungen außerhalb gesetzlich geschützter Biotope.</w:t>
      </w:r>
    </w:p>
    <w:p>
      <w:r>
        <w:t xml:space="preserve">Die Anlage von Wildäckern und Wildwiesen bleibt unzulässig;</w:t>
      </w:r>
    </w:p>
    <w:p>
      <w:r>
        <w:t xml:space="preserve">die im Sinne des § 10 des Brandenburgischen Straßengesetzes ordnungsgemäße Unterhaltung der dem öffentlichen Verkehr gewidmeten Straßen und Wege, die im Sinne der §§ 28 des Wasserhaushaltsgesetzes und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VO-ID211991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https://recht.nulegal.eu/gesetze/VO-ID211991/5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