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VO-ID211989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„Riesenbruch“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auf den in der Übersichtskarte im Maßstab 1 : 10 000 gekennzeichneten Flächen soll eine Deckung mit Gehölzen von 30 Prozent nicht überschritten werden;</w:t>
      </w:r>
    </w:p>
    <w:p>
      <w:r>
        <w:t xml:space="preserve">die Nutzung des Grünlandes soll extensiv erfolgen. Dabei soll die erste Nutzung möglichst nicht vor dem 1. Juli eines jeden Jahres erfolgen.</w:t>
      </w:r>
    </w:p>
    <w:p>
      <w:r>
        <w:rPr>
          <w:color w:val="555555"/>
          <w:sz w:val="17"/>
        </w:rPr>
        <w:t xml:space="preserve">Zitiervorschlag: § 6 VO-ID211989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VO-ID211989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