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VO-ID211989 (Brandenburg) — Schutzgegenstand</w:t>
      </w:r>
    </w:p>
    <w:p>
      <w:r>
        <w:rPr>
          <w:color w:val="555555"/>
          <w:sz w:val="18"/>
        </w:rPr>
        <w:t xml:space="preserve">Verordnung über das Naturschutzgebiet „Riesenbruch“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297 Hektar. Es umfasst Flächen in folgenden Fluren:</w:t>
      </w:r>
    </w:p>
    <w:p>
      <w:r>
        <w:t xml:space="preserve">Gemeinde: Gemarkung: Flure:</w:t>
      </w:r>
    </w:p>
    <w:p>
      <w:r>
        <w:t xml:space="preserve">Stadt Rathenow</w:t>
      </w:r>
    </w:p>
    <w:p>
      <w:r>
        <w:t xml:space="preserve">Rathenow</w:t>
      </w:r>
    </w:p>
    <w:p>
      <w:r>
        <w:t xml:space="preserve">29;</w:t>
      </w:r>
    </w:p>
    <w:p>
      <w:r>
        <w:t xml:space="preserve">Stadt Rathenow</w:t>
      </w:r>
    </w:p>
    <w:p>
      <w:r>
        <w:t xml:space="preserve">Semlin</w:t>
      </w:r>
    </w:p>
    <w:p>
      <w:r>
        <w:t xml:space="preserve">3;</w:t>
      </w:r>
    </w:p>
    <w:p>
      <w:r>
        <w:t xml:space="preserve">Stechow-Ferchesar</w:t>
      </w:r>
    </w:p>
    <w:p>
      <w:r>
        <w:t xml:space="preserve">Stechow</w:t>
      </w:r>
    </w:p>
    <w:p>
      <w:r>
        <w:t xml:space="preserve">16, 17.</w:t>
      </w:r>
    </w:p>
    <w:p>
      <w:r>
        <w:t xml:space="preserve">Eine Kartenskizze ist dieser Verordnung zur Orientierung als Anlage beigefügt.</w:t>
      </w:r>
    </w:p>
    <w:p>
      <w:r>
        <w:t xml:space="preserve">(2) Die Grenze des Naturschutzgebietes ist in einer topografischen Karte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beim Landkreis Havelland, untere Naturschutzbehörde, von jedermann während der Dienstzeiten kostenlos eingesehen werden.</w:t>
      </w:r>
    </w:p>
    <w:p>
      <w:r>
        <w:rPr>
          <w:color w:val="555555"/>
          <w:sz w:val="17"/>
        </w:rPr>
        <w:t xml:space="preserve">Zitiervorschlag: § 2 VO-ID211989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https://recht.nulegal.eu/gesetze/VO-ID211989/2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