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VO-ID211989 (Brandenburg) — In-Kraft-Treten, Außer-Kraft-Treten</w:t>
      </w:r>
    </w:p>
    <w:p>
      <w:r>
        <w:rPr>
          <w:color w:val="555555"/>
          <w:sz w:val="18"/>
        </w:rPr>
        <w:t xml:space="preserve">Verordnung über das Naturschutzgebiet „Riesenbruch“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Diese Verordnung tritt am Tage nach der Verkündung in Kraft.</w:t>
      </w:r>
    </w:p>
    <w:p>
      <w:r>
        <w:t xml:space="preserve">(2) Gleichzeitig tritt die „Anordnung Nr. 1 über Naturschutzgebiete des Ministers für Landwirtschaft, Ernährung und Forstwirtschaft der Deutschen Demokratischen Republik vom 30. März 1961 zum Naturschutzgebiet Forst Semlin“ außer Kraft.</w:t>
      </w:r>
    </w:p>
    <w:p>
      <w:r>
        <w:t xml:space="preserve">Potsdam, den 30. April 2003</w:t>
      </w:r>
    </w:p>
    <w:p>
      <w:r>
        <w:rPr>
          <w:color w:val="555555"/>
          <w:sz w:val="17"/>
        </w:rPr>
        <w:t xml:space="preserve">Zitiervorschlag: § 11 VO-ID211989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https://recht.nulegal.eu/gesetze/VO-ID211989/11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