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VO-ID211987 (Brandenburg) — Pflege- und Entwicklungsmaßnahmen</w:t>
      </w:r>
    </w:p>
    <w:p>
      <w:r>
        <w:rPr>
          <w:color w:val="555555"/>
          <w:sz w:val="18"/>
        </w:rPr>
        <w:t xml:space="preserve">Verordnung über das Naturschutzgebiet „Oderhänge Mallnow“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 Pflege- und Entwicklungsmaßnahmen werden als Zielvorgabe benannt:</w:t>
      </w:r>
    </w:p>
    <w:p>
      <w:r>
        <w:t xml:space="preserve">die Halbtrocken- und Trockenrasen sollen vorwiegend mit Schafen und wenigen Ziegen beweidet werden. Die Beweidung soll entsprechend eines regelmäßig fortzuschreibenden, mit der zuständigen Naturschutzbehörde abgestimmten Weideplanes durchgeführt werden;</w:t>
      </w:r>
    </w:p>
    <w:p>
      <w:r>
        <w:t xml:space="preserve">eine Verbuschung der Halbtrocken- und Trockenrasen sowie der Wiesen soll durch Entfernen von Gehölzen verhindert werden;</w:t>
      </w:r>
    </w:p>
    <w:p>
      <w:r>
        <w:t xml:space="preserve">das Grünland in der Niederung soll als Wiese genutzt werden. Eine Beweidung sollte sich nach Möglichkeit auf den zweiten Aufwuchs beschränken;</w:t>
      </w:r>
    </w:p>
    <w:p>
      <w:r>
        <w:t xml:space="preserve">die mageren Flachland-Mähwiesen sollen durch zweischürige Mahd genutzt werden, wobei der erste Schnitt nach dem 15. Juni eines jeden Jahres erfolgen soll;</w:t>
      </w:r>
    </w:p>
    <w:p>
      <w:r>
        <w:t xml:space="preserve">durch abflussverringernde Maßnahmen soll der Erhalt und die Regeneration der Moorstandorte unter Beibehaltung der Nutzungsfähigkeit des Grünlands gesichert werden;</w:t>
      </w:r>
    </w:p>
    <w:p>
      <w:r>
        <w:t xml:space="preserve">bei der Unterhaltung der Gräben, Gewässerufer und Wege sollen nasse bis feuchte Kraut- beziehungsweise Brachesäume abschnittsweise belassen werden;</w:t>
      </w:r>
    </w:p>
    <w:p>
      <w:r>
        <w:t xml:space="preserve">die Fallen- und Baujagd soll in der Niederung zum Schutz des Fischotters (Lutra lutra) unterbleiben. Im Übrigen sollen nur Lebendfallen eingesetzt werden;</w:t>
      </w:r>
    </w:p>
    <w:p>
      <w:r>
        <w:t xml:space="preserve">für die Waldbereiche:</w:t>
      </w:r>
    </w:p>
    <w:p>
      <w:r>
        <w:t xml:space="preserve">stehendes Totholz soll nicht gefällt werden und liegendes Totholz soll an Ort und Stelle verbleiben,</w:t>
      </w:r>
    </w:p>
    <w:p>
      <w:r>
        <w:t xml:space="preserve">Teilbereiche der Auen-Wälder mit Schwarz-Erle (Alnus glutinosa) und Gewöhnlicher Esche (Fraxinus excelsior) (Alno-Padion), der Schlucht- und Hangmischwälder (Tilio-Acerion) und der Eichen- Trockenwälder sollen möglichst aus der forstwirtschaftlichen Nutzung genommen werden; es sollen strukturreiche Waldmäntel und -säume erhalten und entwickelt werden,</w:t>
      </w:r>
    </w:p>
    <w:p>
      <w:r>
        <w:t xml:space="preserve">die Naturverjüngung soll durch eine angepasste Regulierung des Wildbestandes oder auf Stand-orten von in § 3 genannten Waldgesellschaften durch Gatterung gefördert werden,</w:t>
      </w:r>
    </w:p>
    <w:p>
      <w:r>
        <w:t xml:space="preserve">gebietsfremde Gehölzarten, insbesondere Robinie und Eschen-Ahorn, sollen aus den Beständen in geeigneter Weise so bald wie möglich entfernt werden;</w:t>
      </w:r>
    </w:p>
    <w:p>
      <w:r>
        <w:t xml:space="preserve">auf den ackerbaulich genutzten Flächen sollen gefährdete Ackerwildkrautfluren durch weitere geeignete Bewirtschaftungsweisen gefördert werden;</w:t>
      </w:r>
    </w:p>
    <w:p>
      <w:r>
        <w:t xml:space="preserve">es sollen geeignete Einrichtungen zur Besucherlenkung und -information geschaffen werden.</w:t>
      </w:r>
    </w:p>
    <w:p>
      <w:r>
        <w:rPr>
          <w:color w:val="555555"/>
          <w:sz w:val="17"/>
        </w:rPr>
        <w:t xml:space="preserve">Zitiervorschlag: § 6 VO-ID211987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https://recht.nulegal.eu/gesetze/VO-ID211987/6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