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VO-ID211987 (Brandenburg) — Zulässige Handlungen</w:t>
      </w:r>
    </w:p>
    <w:p>
      <w:r>
        <w:rPr>
          <w:color w:val="555555"/>
          <w:sz w:val="18"/>
        </w:rPr>
        <w:t xml:space="preserve">Verordnung über das Naturschutzgebiet „Oderhänge Mallnow“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dieser Verordnung bleiben:</w:t>
      </w:r>
    </w:p>
    <w:p>
      <w:r>
        <w:t xml:space="preserve">die im Sinne des § 11 Abs. 2 des Brandenburgischen Naturschutzgesetzes ordnungsgemäße landwirtschaftliche Bodennutzung in der bisherigen Art und im bisherigen Umfang auf den bisher rechtmäßig dafür genutzten Flächen mit der Maßgabe, dass</w:t>
      </w:r>
    </w:p>
    <w:p>
      <w:r>
        <w:t xml:space="preserve">Grünland als Wiese oder Weide genutzt wird und die jährliche Zufuhr an Pflanzennährstoffen über Dünger inklusive der Exkremente von Weidetieren je Hektar die Menge nicht überschreitet, die dem Äquivalent an Dünger von 1,4 Großvieheinheiten (GVE) entspricht, ohne chemisch-synthetische Stickstoffdüngemittel und Gülle einzusetzen; im Übrigen gilt § 4 Abs. 2 Nr. 15,</w:t>
      </w:r>
    </w:p>
    <w:p>
      <w:r>
        <w:t xml:space="preserve">Pferchungen nur außerhalb von Trockenrasen, Mähwiesen und Feuchtgrünland erfolgen,</w:t>
      </w:r>
    </w:p>
    <w:p>
      <w:r>
        <w:t xml:space="preserve">auf Grünland § 4 Abs. 2 Nr. 20 und 21 gilt, wobei bei Narbenschäden eine umbruchlose Nachsaat mit Genehmigung der unteren Naturschutzbehörde zulässig ist. Die Genehmigung ist zu erteilen, wenn der Schutzzweck nicht beeinträchtigt wird. Darüber hinaus gilt, dass</w:t>
      </w:r>
    </w:p>
    <w:p>
      <w:r>
        <w:t xml:space="preserve">in der Zone 1 auf Grünland der Einsatz von Düngern aller Art unterbleibt,</w:t>
      </w:r>
    </w:p>
    <w:p>
      <w:r>
        <w:t xml:space="preserve">bei Ackernutzung der Einsatz von chemisch-synthetischen Düngemitteln sowie von Herbiziden und Insektiziden unterbleibt; im Übrigen gilt § 4 Abs. 2 Nr. 15;</w:t>
      </w:r>
    </w:p>
    <w:p>
      <w:r>
        <w:t xml:space="preserve">die im Sinne des § 11 Abs. 3 des Brandenburgischen Naturschutzgesetzes ordnungsgemäße forstwirtschaftliche Bodennutzung in der bisherigen Art und im bisherigen Umfang auf den bisher rechtmäßig dafür genutzten Flächen mit der Maßgabe, dass</w:t>
      </w:r>
    </w:p>
    <w:p>
      <w:r>
        <w:t xml:space="preserve">die Bewirtschaftung der in § 3 genannten Waldgesellschaften über Naturverjüngung und Einzelstammentnahme erfolgt und auf den übrigen Waldflächen nur Gehölze eingebracht werden, die dem Artenspektrum der in § 3 aufgeführten Waldgesellschaften entsprechen,</w:t>
      </w:r>
    </w:p>
    <w:p>
      <w:r>
        <w:t xml:space="preserve">Robinienbestände langfristig in Mischbestände mit natürlicher Baumartenzusammensetzung überführt werden,</w:t>
      </w:r>
    </w:p>
    <w:p>
      <w:r>
        <w:t xml:space="preserve">Kahlhiebe nur bis zu 0,5 Hektar erfolgen,</w:t>
      </w:r>
    </w:p>
    <w:p>
      <w:r>
        <w:t xml:space="preserve">§ 4 Abs. 2 Nr. 20 gilt;</w:t>
      </w:r>
    </w:p>
    <w:p>
      <w:r>
        <w:t xml:space="preserve">die im Sinne des § 11 Abs. 4 des Brandenburgischen Naturschutzgesetzes in Verbindung mit § 1 Abs. 1 und 2 des Fischereigesetzes für das Land Brandenburg ordnungsgemäße fischereiwirtschaftliche Flächennutzung auf den bisher rechtmäßig dafür genutzten Flächen mit der Maßgabe, dass bei einem Einsatz von Reusen Otterschutzvorrichtungen eingesetzt werden;</w:t>
      </w:r>
    </w:p>
    <w:p>
      <w:r>
        <w:t xml:space="preserve">die rechtmäßige Ausübung der Angelfischerei;</w:t>
      </w:r>
    </w:p>
    <w:p>
      <w:r>
        <w:t xml:space="preserve">für den Bereich der Jagd:</w:t>
      </w:r>
    </w:p>
    <w:p>
      <w:r>
        <w:t xml:space="preserve">die rechtmäßige Ausübung der Jagd,</w:t>
      </w:r>
    </w:p>
    <w:p>
      <w:r>
        <w:t xml:space="preserve">die Errichtung ortsunveränderlicher jagdlicher Einrichtungen zur Ansitzjagd mit Zustimmung der unteren Naturschutzbehörde. Die Zustimmung ist zu erteilen, wenn der Schutzzweck nicht beeinträchtigt wird. Transportable und mobile Ansitzeinrichtungen sind der unteren Naturschutzbehörde anzuzeigen. Die untere Naturschutzbehörde kann in begründeten Einzelfällen das Aufstellen verbieten, wenn es dem Schutzzweck entgegensteht. Die Entscheidung hierüber soll unverzüglich erfolgen,</w:t>
      </w:r>
    </w:p>
    <w:p>
      <w:r>
        <w:t xml:space="preserve">die Anlage von Kirrungen außerhalb gesetzlich geschützter Biotope. Im Übrigen bleibt die Anlage von Ansaatwildwiesen unzulässig;</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Befahren und Betreten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VO-ID211987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https://recht.nulegal.eu/gesetze/VO-ID211987/5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