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VO-ID211987 (Brandenburg) — Schutzzweck</w:t>
      </w:r>
    </w:p>
    <w:p>
      <w:r>
        <w:rPr>
          <w:color w:val="555555"/>
          <w:sz w:val="18"/>
        </w:rPr>
        <w:t xml:space="preserve">Verordnung über das Naturschutzgebiet „Oderhänge Mallnow“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einen einzigartigen und landesweit herausragenden Komplex subkontinentaler und kontinentaler Halbtrocken- und Trockenrasen umfasst, ist</w:t>
      </w:r>
    </w:p>
    <w:p>
      <w:r>
        <w:t xml:space="preserve">die Erhaltung und Entwicklung als Lebensraum seltener und gefährdeter, wild lebender Pflanzengesellschaften, insbesondere</w:t>
      </w:r>
    </w:p>
    <w:p>
      <w:r>
        <w:t xml:space="preserve">der subkontinentalen und kontinentalen Halbtrocken- und Trockenrasen,</w:t>
      </w:r>
    </w:p>
    <w:p>
      <w:r>
        <w:t xml:space="preserve">der Moos- und Flechten-Fluren, beispielsweise der Bunten Erdflechtengesellschaft, der naturnahen Eichen-Trockenwälder sowie der extensiv genutzten Äcker in den Hangbereichen am Rand der Lebuser Platte,</w:t>
      </w:r>
    </w:p>
    <w:p>
      <w:r>
        <w:t xml:space="preserve">der Quellzonen und ihrer Abflüsse an den unteren Talhängen,</w:t>
      </w:r>
    </w:p>
    <w:p>
      <w:r>
        <w:t xml:space="preserve">der Feuchtwiesen, der Röhrichtbestände, der Erlenbrüche sowie der ehemaligen Torfstiche und ihrer Verlandungsbereiche in der Niederung;</w:t>
      </w:r>
    </w:p>
    <w:p>
      <w:r>
        <w:t xml:space="preserve">die Erhaltung und Entwicklung der Lebensräume seltener und gefährdeter wild lebender Pflanzenarten, darunter nach § 10 Abs. 2 Nr. 10 des Bundesnaturschutzgesetzes besonders geschützter Arten, beispielsweise Frühlings-Adonisröschen (Adonis vernalis), Pfriemengras (Stipa capillata), Großes Windröschen (Anemone sylvestris), Wiesen-Kuhschelle (Pulsatilla pratensis) oder Zottige Fahnenwicke (Oxytropis pilosa);</w:t>
      </w:r>
    </w:p>
    <w:p>
      <w:r>
        <w:t xml:space="preserve">die Erhaltung und Entwicklung des Gebietes als Lebens- beziehungsweise Rückzugsraum und potenzielles Wiederausbreitungszentrum wild lebender Tierarten, insbesondere der Vögel, Reptilien, Amphibien und Insekten, darunter nach § 10 Abs. 2 Nr. 10 und 11 des Bundesnaturschutzgesetzes besonders und streng geschützter Arten, beispielsweise Grauammer (Emberiza calandra), Wendehals (Jynx torquilla), Wiedehopf (Upupa epops), Zauneidechse (Lacerta agilis), Moorfrosch (Rana arvalis), Esparsetten-Widderchen (Zygaena carniolica), Glänzendschwarzer Maiwurmkäfer (Meloë coriarius), Schmalbiene (Lasioglossum lineare) oder Mittlere Schlürfbiene (Rophites algirus);</w:t>
      </w:r>
    </w:p>
    <w:p>
      <w:r>
        <w:t xml:space="preserve">die Erhaltung der kulturbedingten Artenvielfalt der Halbtrocken- und Trockenrasen, der extensiv genutzten Äcker und der Mergelabbruchkanten aus landeskundlichen Gründen sowie aus wissenschaftlichen Gründen zur Beobachtung des Vorkommens und der Bestandsentwicklung von Tier- und Pflanzenarten dieser Lebensräume;</w:t>
      </w:r>
    </w:p>
    <w:p>
      <w:r>
        <w:t xml:space="preserve">die Erhaltung der hervorragenden Schönheit, besonderen Eigenart und Vielfalt des Gebietes, die sich vor allem durch ein markantes Relief, dem Wechsel zwischen Trocken- und Feuchtlebensräumen, Wald- und Offenland sowie aus den jahreszeitlich wechselnden Blühaspekten der Offenlandbiotope ergeben;</w:t>
      </w:r>
    </w:p>
    <w:p>
      <w:r>
        <w:t xml:space="preserve">die Erhaltung und Entwicklung des Gebietes als besonders bedeutsames Glied im Biotopverbund der subkontinentalen Halbtrocken- und Trockenrasen entlang der Oderhänge.</w:t>
      </w:r>
    </w:p>
    <w:p>
      <w:r>
        <w:t xml:space="preserve">(2) Die Unterschutzstellung dient der Erhaltung und Entwicklung</w:t>
      </w:r>
    </w:p>
    <w:p>
      <w:r>
        <w:t xml:space="preserve">von mageren Flachland-Mähwiesen (Wiesen-Fuchsschwanz (Alopecurus pratensis), Großer Wiesenknopf (Sanguisorba officinalis)), feuchten Hochstaudenfluren der planaren Stufe und kalkreichen Niedermooren als Lebensraumtypen nach Anhang I der Richtlinie 92/43/EWG des Rates vom 21. Mai 1992 zur Erhaltung der natürlichen Lebensräume sowie der wild lebenden Tiere und Pflanzen (ABl. EG Nr. L 206 S. 7), zuletzt geändert durch die Richtlinie 97/62/EG vom 27. Oktober 1997 (ABl. EG Nr. L 305 S. 42) – Fauna-Flora-Habitat-Richtlinie;</w:t>
      </w:r>
    </w:p>
    <w:p>
      <w:r>
        <w:t xml:space="preserve">von trockenen, kalkreichen Sandrasen, naturnahen Kalk-Trockenrasen (Festuco-Brometalia), subpannonischen Steppen-Trockenrasen, Auen-Wäldern mit Schwarz-Erle (Alnus glutinosa) und Gewöhnlicher Esche (Fraxinus excelsior) (Alno-Padion) sowie Schlucht- und Hangmischwäldern (Tilio-Acerion) als prioritäre Lebensraumtypen nach Anhang I der Fauna-Flora-Habitat-Richtlinie;</w:t>
      </w:r>
    </w:p>
    <w:p>
      <w:r>
        <w:t xml:space="preserve">von Fischotter (Lutra lutra) und Großem Feuerfalter (Lycaena dispar) als Tierarten nach Anhang II der Fauna-Flora-Habitat-Richtlinie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VO-ID211987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