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VO-ID211987 (Brandenburg) — In-Kraft-Treten, Außer-Kraft-Treten</w:t>
      </w:r>
    </w:p>
    <w:p>
      <w:r>
        <w:rPr>
          <w:color w:val="555555"/>
          <w:sz w:val="18"/>
        </w:rPr>
        <w:t xml:space="preserve">Verordnung über das Naturschutzgebiet „Oderhänge Mallnow“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 Ausgenommen davon sind die Maßgaben zur landwirtschaftlichen Bodennutzung nach § 5 Abs. 1 Nr. 1 Buchstabe a bis e, die am 1. Juli 2003 in Kraft treten.</w:t>
      </w:r>
    </w:p>
    <w:p>
      <w:r>
        <w:t xml:space="preserve">(2) Gleichzeitig tritt der Beschluss Nr. 86/84 des Bezirkstages Frankfurt (Oder) über das Naturschutzgebiet „Oderhänge Mallnow“ vom 22. März 1984 außer Kraft.</w:t>
      </w:r>
    </w:p>
    <w:p>
      <w:r>
        <w:t xml:space="preserve">Potsdam, den 18. April 2003</w:t>
      </w:r>
    </w:p>
    <w:p>
      <w:r>
        <w:rPr>
          <w:color w:val="555555"/>
          <w:sz w:val="17"/>
        </w:rPr>
        <w:t xml:space="preserve">Zitiervorschlag: § 11 VO-ID211987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https://recht.nulegal.eu/gesetze/VO-ID211987/11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