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VO-ID211985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am Pfefferfließ soll eine naturnahe Fließgewässermorphologie mit strukturreichen Uferzonen entwickelt werden;</w:t>
      </w:r>
    </w:p>
    <w:p>
      <w:r>
        <w:t xml:space="preserve">das Grünland soll extensiv bewirtschaftet werden und die Nutzungstermine sollen an die Erfordernisse des Wiesenbrüterschutzes angepasst werden;</w:t>
      </w:r>
    </w:p>
    <w:p>
      <w:r>
        <w:t xml:space="preserve">um die Gewässer sollen nicht oder nur extensiv genutzte Pufferzonen entwickelt werden;</w:t>
      </w:r>
    </w:p>
    <w:p>
      <w:r>
        <w:t xml:space="preserve">in den Feuchtwiesen- und Moorbereichen sollen Grundwasserstände, die für die Erhaltung und Entwicklung von Lebensräumen nach § 3 Abs. 1 Nr. 1 erforderlich sind, gesichert und gegebenenfalls wiederhergestellt werden;</w:t>
      </w:r>
    </w:p>
    <w:p>
      <w:r>
        <w:t xml:space="preserve">eine Verjüngung soll vorrangig über Naturverjüngung erfolgen;</w:t>
      </w:r>
    </w:p>
    <w:p>
      <w:r>
        <w:t xml:space="preserve">die Kiefernreinbestände sowie die nicht standortheimischen Forstkulturen sollen in naturnahe, reich strukturierte Mischwaldbestände mit standortheimischen Baumarten entwickelt werden.</w:t>
      </w:r>
    </w:p>
    <w:p>
      <w:r>
        <w:rPr>
          <w:color w:val="555555"/>
          <w:sz w:val="17"/>
        </w:rPr>
        <w:t xml:space="preserve">Zitiervorschlag: § 6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